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F67E0" w14:textId="6AA2A975" w:rsidR="00A0234B" w:rsidRPr="003D66B9" w:rsidRDefault="00A0234B" w:rsidP="00A0234B">
      <w:pPr>
        <w:pStyle w:val="Title"/>
        <w:jc w:val="center"/>
        <w:rPr>
          <w:rFonts w:ascii="Arial" w:hAnsi="Arial" w:cs="Arial"/>
          <w:b/>
          <w:bCs/>
          <w:sz w:val="28"/>
          <w:szCs w:val="28"/>
        </w:rPr>
      </w:pPr>
      <w:r w:rsidRPr="003D66B9">
        <w:rPr>
          <w:rFonts w:ascii="Arial" w:hAnsi="Arial" w:cs="Arial"/>
          <w:b/>
          <w:bCs/>
          <w:sz w:val="28"/>
          <w:szCs w:val="28"/>
        </w:rPr>
        <w:t>Mathematical Ways of Knowing</w:t>
      </w:r>
    </w:p>
    <w:p w14:paraId="0095482C" w14:textId="189A62C3" w:rsidR="00A0234B" w:rsidRPr="003D66B9" w:rsidRDefault="003D66B9" w:rsidP="00A0234B">
      <w:pPr>
        <w:pStyle w:val="Title"/>
        <w:jc w:val="center"/>
        <w:rPr>
          <w:rFonts w:ascii="Arial" w:hAnsi="Arial" w:cs="Arial"/>
          <w:b/>
          <w:bCs/>
          <w:sz w:val="22"/>
          <w:szCs w:val="22"/>
        </w:rPr>
      </w:pPr>
      <w:r>
        <w:rPr>
          <w:rFonts w:ascii="Arial" w:hAnsi="Arial" w:cs="Arial"/>
          <w:b/>
          <w:bCs/>
          <w:sz w:val="22"/>
          <w:szCs w:val="22"/>
        </w:rPr>
        <w:t>UAR</w:t>
      </w:r>
      <w:r w:rsidR="000F1597" w:rsidRPr="003D66B9">
        <w:rPr>
          <w:rFonts w:ascii="Arial" w:hAnsi="Arial" w:cs="Arial"/>
          <w:b/>
          <w:bCs/>
          <w:sz w:val="22"/>
          <w:szCs w:val="22"/>
        </w:rPr>
        <w:t xml:space="preserve"> Plan</w:t>
      </w:r>
      <w:r w:rsidR="006C5F34" w:rsidRPr="003D66B9">
        <w:rPr>
          <w:rFonts w:ascii="Arial" w:hAnsi="Arial" w:cs="Arial"/>
          <w:b/>
          <w:bCs/>
          <w:sz w:val="22"/>
          <w:szCs w:val="22"/>
        </w:rPr>
        <w:t>, 202</w:t>
      </w:r>
      <w:r w:rsidR="00DE0E50">
        <w:rPr>
          <w:rFonts w:ascii="Arial" w:hAnsi="Arial" w:cs="Arial"/>
          <w:b/>
          <w:bCs/>
          <w:sz w:val="22"/>
          <w:szCs w:val="22"/>
        </w:rPr>
        <w:t>5</w:t>
      </w:r>
      <w:r w:rsidR="006C5F34" w:rsidRPr="003D66B9">
        <w:rPr>
          <w:rFonts w:ascii="Arial" w:hAnsi="Arial" w:cs="Arial"/>
          <w:b/>
          <w:bCs/>
          <w:sz w:val="22"/>
          <w:szCs w:val="22"/>
        </w:rPr>
        <w:t xml:space="preserve"> - 202</w:t>
      </w:r>
      <w:r w:rsidR="00DE0E50">
        <w:rPr>
          <w:rFonts w:ascii="Arial" w:hAnsi="Arial" w:cs="Arial"/>
          <w:b/>
          <w:bCs/>
          <w:sz w:val="22"/>
          <w:szCs w:val="22"/>
        </w:rPr>
        <w:t>7</w:t>
      </w:r>
    </w:p>
    <w:p w14:paraId="1EF21D60" w14:textId="77777777" w:rsidR="00A0234B" w:rsidRPr="003D66B9" w:rsidRDefault="00A0234B" w:rsidP="00A0234B">
      <w:pPr>
        <w:pStyle w:val="Default"/>
        <w:rPr>
          <w:rFonts w:ascii="Arial" w:hAnsi="Arial" w:cs="Arial"/>
          <w:sz w:val="22"/>
          <w:szCs w:val="22"/>
        </w:rPr>
      </w:pPr>
    </w:p>
    <w:tbl>
      <w:tblPr>
        <w:tblStyle w:val="LightGrid-Accent11"/>
        <w:tblW w:w="0" w:type="auto"/>
        <w:tblLook w:val="04A0" w:firstRow="1" w:lastRow="0" w:firstColumn="1" w:lastColumn="0" w:noHBand="0" w:noVBand="1"/>
      </w:tblPr>
      <w:tblGrid>
        <w:gridCol w:w="3140"/>
        <w:gridCol w:w="5480"/>
      </w:tblGrid>
      <w:tr w:rsidR="006C5F34" w:rsidRPr="003D66B9" w14:paraId="7BAFD949" w14:textId="77777777" w:rsidTr="003D66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0715BB2E" w14:textId="77777777" w:rsidR="006C5F34" w:rsidRPr="003D66B9" w:rsidRDefault="006C5F34" w:rsidP="006C5F34">
            <w:pPr>
              <w:rPr>
                <w:rFonts w:ascii="Arial" w:hAnsi="Arial" w:cs="Arial"/>
                <w:sz w:val="22"/>
                <w:szCs w:val="22"/>
              </w:rPr>
            </w:pPr>
            <w:r w:rsidRPr="003D66B9">
              <w:rPr>
                <w:rFonts w:ascii="Arial" w:hAnsi="Arial" w:cs="Arial"/>
                <w:sz w:val="22"/>
                <w:szCs w:val="22"/>
              </w:rPr>
              <w:t>Goal/Outcome:</w:t>
            </w:r>
          </w:p>
        </w:tc>
        <w:tc>
          <w:tcPr>
            <w:tcW w:w="5480" w:type="dxa"/>
          </w:tcPr>
          <w:p w14:paraId="67BA933F" w14:textId="520BABCF" w:rsidR="006C5F34" w:rsidRPr="003D66B9" w:rsidRDefault="006C5F34" w:rsidP="006C5F34">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D66B9">
              <w:rPr>
                <w:rFonts w:ascii="Arial" w:hAnsi="Arial" w:cs="Arial"/>
                <w:sz w:val="22"/>
                <w:szCs w:val="22"/>
              </w:rPr>
              <w:t xml:space="preserve">Students </w:t>
            </w:r>
            <w:r w:rsidR="003D66B9">
              <w:rPr>
                <w:rFonts w:ascii="Arial" w:hAnsi="Arial" w:cs="Arial"/>
                <w:sz w:val="22"/>
                <w:szCs w:val="22"/>
              </w:rPr>
              <w:t xml:space="preserve">Will Meet </w:t>
            </w:r>
            <w:r w:rsidRPr="003D66B9">
              <w:rPr>
                <w:rFonts w:ascii="Arial" w:hAnsi="Arial" w:cs="Arial"/>
                <w:sz w:val="22"/>
                <w:szCs w:val="22"/>
              </w:rPr>
              <w:t>the General Education Learning Outcome</w:t>
            </w:r>
            <w:r w:rsidR="003D66B9">
              <w:rPr>
                <w:rFonts w:ascii="Arial" w:hAnsi="Arial" w:cs="Arial"/>
                <w:sz w:val="22"/>
                <w:szCs w:val="22"/>
              </w:rPr>
              <w:t>s</w:t>
            </w:r>
            <w:r w:rsidRPr="003D66B9">
              <w:rPr>
                <w:rFonts w:ascii="Arial" w:hAnsi="Arial" w:cs="Arial"/>
                <w:sz w:val="22"/>
                <w:szCs w:val="22"/>
              </w:rPr>
              <w:t xml:space="preserve"> for Mathematical Ways of Knowing</w:t>
            </w:r>
          </w:p>
        </w:tc>
      </w:tr>
      <w:tr w:rsidR="006C5F34" w:rsidRPr="003D66B9" w14:paraId="052E2F0A" w14:textId="77777777" w:rsidTr="003D6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242FB9F6" w14:textId="77777777" w:rsidR="006C5F34" w:rsidRPr="003D66B9" w:rsidRDefault="006C5F34" w:rsidP="006C5F34">
            <w:pPr>
              <w:rPr>
                <w:rFonts w:ascii="Arial" w:hAnsi="Arial" w:cs="Arial"/>
                <w:b w:val="0"/>
                <w:sz w:val="22"/>
                <w:szCs w:val="22"/>
              </w:rPr>
            </w:pPr>
            <w:r w:rsidRPr="003D66B9">
              <w:rPr>
                <w:rFonts w:ascii="Arial" w:hAnsi="Arial" w:cs="Arial"/>
                <w:b w:val="0"/>
                <w:sz w:val="22"/>
                <w:szCs w:val="22"/>
              </w:rPr>
              <w:t>GELO 1</w:t>
            </w:r>
          </w:p>
        </w:tc>
        <w:tc>
          <w:tcPr>
            <w:tcW w:w="5480" w:type="dxa"/>
          </w:tcPr>
          <w:p w14:paraId="55FDD055" w14:textId="5E301846" w:rsidR="006C5F34" w:rsidRPr="003D66B9" w:rsidRDefault="00B740C4" w:rsidP="006C5F3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Read, i</w:t>
            </w:r>
            <w:r w:rsidR="006C5F34" w:rsidRPr="003D66B9">
              <w:rPr>
                <w:rFonts w:ascii="Arial" w:hAnsi="Arial" w:cs="Arial"/>
                <w:sz w:val="22"/>
                <w:szCs w:val="22"/>
              </w:rPr>
              <w:t>nterpret</w:t>
            </w:r>
            <w:r>
              <w:rPr>
                <w:rFonts w:ascii="Arial" w:hAnsi="Arial" w:cs="Arial"/>
                <w:sz w:val="22"/>
                <w:szCs w:val="22"/>
              </w:rPr>
              <w:t>, and communicate</w:t>
            </w:r>
            <w:r w:rsidR="006C5F34" w:rsidRPr="003D66B9">
              <w:rPr>
                <w:rFonts w:ascii="Arial" w:hAnsi="Arial" w:cs="Arial"/>
                <w:sz w:val="22"/>
                <w:szCs w:val="22"/>
              </w:rPr>
              <w:t xml:space="preserve"> mathematical concepts</w:t>
            </w:r>
            <w:r w:rsidR="008C18F4" w:rsidRPr="003D66B9">
              <w:rPr>
                <w:rFonts w:ascii="Arial" w:hAnsi="Arial" w:cs="Arial"/>
                <w:sz w:val="22"/>
                <w:szCs w:val="22"/>
              </w:rPr>
              <w:t>.</w:t>
            </w:r>
          </w:p>
        </w:tc>
      </w:tr>
      <w:tr w:rsidR="0035019E" w:rsidRPr="003D66B9" w14:paraId="66D4166C" w14:textId="77777777" w:rsidTr="003D66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5AA07E12" w14:textId="6C2DEA28" w:rsidR="0035019E" w:rsidRPr="003D66B9" w:rsidRDefault="0035019E" w:rsidP="0035019E">
            <w:pPr>
              <w:ind w:left="450"/>
              <w:rPr>
                <w:rFonts w:ascii="Arial" w:hAnsi="Arial" w:cs="Arial"/>
                <w:b w:val="0"/>
                <w:bCs w:val="0"/>
                <w:sz w:val="22"/>
                <w:szCs w:val="22"/>
              </w:rPr>
            </w:pPr>
            <w:r w:rsidRPr="003D66B9">
              <w:rPr>
                <w:rFonts w:ascii="Arial" w:hAnsi="Arial" w:cs="Arial"/>
                <w:b w:val="0"/>
                <w:sz w:val="22"/>
                <w:szCs w:val="22"/>
              </w:rPr>
              <w:t>Assessment Method</w:t>
            </w:r>
          </w:p>
        </w:tc>
        <w:tc>
          <w:tcPr>
            <w:tcW w:w="5480" w:type="dxa"/>
          </w:tcPr>
          <w:p w14:paraId="5A115AC5" w14:textId="387CF51F" w:rsidR="0035019E" w:rsidRPr="003D66B9" w:rsidRDefault="0035019E" w:rsidP="0035019E">
            <w:p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 w:val="22"/>
                <w:szCs w:val="22"/>
              </w:rPr>
            </w:pPr>
            <w:r w:rsidRPr="003D66B9">
              <w:rPr>
                <w:rFonts w:ascii="Arial" w:hAnsi="Arial" w:cs="Arial"/>
                <w:sz w:val="22"/>
                <w:szCs w:val="22"/>
              </w:rPr>
              <w:t xml:space="preserve">The team will develop a common assessment for each course that represents the ability of students to not only do the mathematical manipulations but also to meet the General Education Learning Outcomes. The assessment topic will be relevant to the course being assessed. All sections of a given course will use the same assessment. The </w:t>
            </w:r>
            <w:r>
              <w:rPr>
                <w:rFonts w:ascii="Arial" w:hAnsi="Arial" w:cs="Arial"/>
                <w:sz w:val="22"/>
                <w:szCs w:val="22"/>
              </w:rPr>
              <w:t xml:space="preserve">Mathematical Ways of Knowing </w:t>
            </w:r>
            <w:r w:rsidRPr="003D66B9">
              <w:rPr>
                <w:rFonts w:ascii="Arial" w:hAnsi="Arial" w:cs="Arial"/>
                <w:sz w:val="22"/>
                <w:szCs w:val="22"/>
              </w:rPr>
              <w:t>Assessment Committee for each course will review the results for 100% of the students’ assessments.</w:t>
            </w:r>
          </w:p>
        </w:tc>
      </w:tr>
      <w:tr w:rsidR="0035019E" w:rsidRPr="003D66B9" w14:paraId="761283B3" w14:textId="77777777" w:rsidTr="003D6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57CF4429" w14:textId="2CD47204" w:rsidR="0035019E" w:rsidRPr="003D66B9" w:rsidRDefault="0035019E" w:rsidP="0035019E">
            <w:pPr>
              <w:ind w:left="450"/>
              <w:rPr>
                <w:rFonts w:ascii="Arial" w:hAnsi="Arial" w:cs="Arial"/>
                <w:b w:val="0"/>
                <w:sz w:val="22"/>
                <w:szCs w:val="22"/>
              </w:rPr>
            </w:pPr>
            <w:r w:rsidRPr="003D66B9">
              <w:rPr>
                <w:rFonts w:ascii="Arial" w:hAnsi="Arial" w:cs="Arial"/>
                <w:b w:val="0"/>
                <w:sz w:val="22"/>
                <w:szCs w:val="22"/>
              </w:rPr>
              <w:t>Benchmark</w:t>
            </w:r>
          </w:p>
        </w:tc>
        <w:tc>
          <w:tcPr>
            <w:tcW w:w="5480" w:type="dxa"/>
          </w:tcPr>
          <w:p w14:paraId="4576B535" w14:textId="6D26CF6E" w:rsidR="0035019E" w:rsidRPr="003D66B9" w:rsidRDefault="0035019E" w:rsidP="0035019E">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sidRPr="003D66B9">
              <w:rPr>
                <w:rFonts w:ascii="Arial" w:hAnsi="Arial" w:cs="Arial"/>
                <w:sz w:val="22"/>
                <w:szCs w:val="22"/>
              </w:rPr>
              <w:t>75% of students meeting end-of-course expectations</w:t>
            </w:r>
          </w:p>
        </w:tc>
      </w:tr>
      <w:tr w:rsidR="0035019E" w:rsidRPr="003D66B9" w14:paraId="4867611A" w14:textId="77777777" w:rsidTr="003D66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3F5354E0" w14:textId="04F08FD9" w:rsidR="0035019E" w:rsidRPr="003D66B9" w:rsidRDefault="0035019E" w:rsidP="0035019E">
            <w:pPr>
              <w:ind w:left="450"/>
              <w:rPr>
                <w:rFonts w:ascii="Arial" w:hAnsi="Arial" w:cs="Arial"/>
                <w:b w:val="0"/>
                <w:sz w:val="22"/>
                <w:szCs w:val="22"/>
              </w:rPr>
            </w:pPr>
            <w:r w:rsidRPr="003D66B9">
              <w:rPr>
                <w:rFonts w:ascii="Arial" w:hAnsi="Arial" w:cs="Arial"/>
                <w:b w:val="0"/>
                <w:sz w:val="22"/>
                <w:szCs w:val="22"/>
              </w:rPr>
              <w:t>Data Sources</w:t>
            </w:r>
          </w:p>
        </w:tc>
        <w:tc>
          <w:tcPr>
            <w:tcW w:w="5480" w:type="dxa"/>
          </w:tcPr>
          <w:p w14:paraId="1BCB2611" w14:textId="77777777" w:rsidR="0035019E" w:rsidRPr="003D66B9" w:rsidRDefault="0035019E" w:rsidP="0035019E">
            <w:p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3D66B9">
              <w:rPr>
                <w:rFonts w:ascii="Arial" w:hAnsi="Arial" w:cs="Arial"/>
                <w:sz w:val="22"/>
                <w:szCs w:val="22"/>
              </w:rPr>
              <w:t xml:space="preserve">Each fall, the students’ assessments will be collected and provided to the course assessment team who will review the artifacts in the spring semester. Assessments for Dual Credit sections will be distributed to teachers in the spring semester instead of the fall semester. </w:t>
            </w:r>
          </w:p>
          <w:p w14:paraId="5B80106C" w14:textId="77777777" w:rsidR="0035019E" w:rsidRPr="003D66B9" w:rsidRDefault="0035019E" w:rsidP="0035019E">
            <w:p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p w14:paraId="7AEBF01C" w14:textId="5B02EC8E" w:rsidR="0035019E" w:rsidRPr="003D66B9" w:rsidRDefault="0035019E" w:rsidP="0035019E">
            <w:p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B740C4">
              <w:rPr>
                <w:rFonts w:ascii="Arial" w:hAnsi="Arial" w:cs="Arial"/>
                <w:b/>
                <w:sz w:val="22"/>
                <w:szCs w:val="22"/>
              </w:rPr>
              <w:t>Note:</w:t>
            </w:r>
            <w:r w:rsidRPr="003D66B9">
              <w:rPr>
                <w:rFonts w:ascii="Arial" w:hAnsi="Arial" w:cs="Arial"/>
                <w:sz w:val="22"/>
                <w:szCs w:val="22"/>
              </w:rPr>
              <w:t xml:space="preserve"> Statistics done by the math faculty have demonstrated that analyzing any proportion of the quizzes, rather than all of them, could result in either over-estimation or under-estimation of the student’s actual abilities.</w:t>
            </w:r>
          </w:p>
        </w:tc>
      </w:tr>
      <w:tr w:rsidR="0035019E" w:rsidRPr="003D66B9" w14:paraId="673A9247" w14:textId="77777777" w:rsidTr="003D6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4104F0E5" w14:textId="1A39DDF4" w:rsidR="0035019E" w:rsidRPr="003D66B9" w:rsidRDefault="0035019E" w:rsidP="0035019E">
            <w:pPr>
              <w:ind w:left="450"/>
              <w:rPr>
                <w:rFonts w:ascii="Arial" w:hAnsi="Arial" w:cs="Arial"/>
                <w:b w:val="0"/>
                <w:sz w:val="22"/>
                <w:szCs w:val="22"/>
              </w:rPr>
            </w:pPr>
            <w:r w:rsidRPr="003D66B9">
              <w:rPr>
                <w:rFonts w:ascii="Arial" w:hAnsi="Arial" w:cs="Arial"/>
                <w:b w:val="0"/>
                <w:sz w:val="22"/>
                <w:szCs w:val="22"/>
              </w:rPr>
              <w:t>Relevant Dates</w:t>
            </w:r>
          </w:p>
        </w:tc>
        <w:tc>
          <w:tcPr>
            <w:tcW w:w="5480" w:type="dxa"/>
          </w:tcPr>
          <w:p w14:paraId="39048F5D" w14:textId="098B6610" w:rsidR="0035019E" w:rsidRDefault="0035019E" w:rsidP="0035019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Data collection FA2</w:t>
            </w:r>
            <w:r w:rsidR="00DE0E50">
              <w:rPr>
                <w:rFonts w:ascii="Arial" w:hAnsi="Arial" w:cs="Arial"/>
                <w:sz w:val="22"/>
                <w:szCs w:val="22"/>
              </w:rPr>
              <w:t>5</w:t>
            </w:r>
            <w:r>
              <w:rPr>
                <w:rFonts w:ascii="Arial" w:hAnsi="Arial" w:cs="Arial"/>
                <w:sz w:val="22"/>
                <w:szCs w:val="22"/>
              </w:rPr>
              <w:t>; review SP2</w:t>
            </w:r>
            <w:r w:rsidR="00DE0E50">
              <w:rPr>
                <w:rFonts w:ascii="Arial" w:hAnsi="Arial" w:cs="Arial"/>
                <w:sz w:val="22"/>
                <w:szCs w:val="22"/>
              </w:rPr>
              <w:t>6</w:t>
            </w:r>
            <w:r>
              <w:rPr>
                <w:rFonts w:ascii="Arial" w:hAnsi="Arial" w:cs="Arial"/>
                <w:sz w:val="22"/>
                <w:szCs w:val="22"/>
              </w:rPr>
              <w:t>; report FA2</w:t>
            </w:r>
            <w:r w:rsidR="00DE0E50">
              <w:rPr>
                <w:rFonts w:ascii="Arial" w:hAnsi="Arial" w:cs="Arial"/>
                <w:sz w:val="22"/>
                <w:szCs w:val="22"/>
              </w:rPr>
              <w:t>6</w:t>
            </w:r>
            <w:r>
              <w:rPr>
                <w:rFonts w:ascii="Arial" w:hAnsi="Arial" w:cs="Arial"/>
                <w:sz w:val="22"/>
                <w:szCs w:val="22"/>
              </w:rPr>
              <w:t>; report to faculty SP2</w:t>
            </w:r>
            <w:r w:rsidR="00DE0E50">
              <w:rPr>
                <w:rFonts w:ascii="Arial" w:hAnsi="Arial" w:cs="Arial"/>
                <w:sz w:val="22"/>
                <w:szCs w:val="22"/>
              </w:rPr>
              <w:t>7</w:t>
            </w:r>
          </w:p>
          <w:p w14:paraId="7EFCC5B0" w14:textId="77777777" w:rsidR="0035019E" w:rsidRDefault="0035019E" w:rsidP="0035019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4238E826" w14:textId="77777777" w:rsidR="0035019E" w:rsidRPr="0027296C" w:rsidRDefault="0035019E" w:rsidP="0035019E">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2"/>
                <w:szCs w:val="22"/>
              </w:rPr>
            </w:pPr>
            <w:r w:rsidRPr="0027296C">
              <w:rPr>
                <w:rFonts w:ascii="Arial" w:eastAsia="Calibri" w:hAnsi="Arial" w:cs="Arial"/>
                <w:b/>
                <w:sz w:val="22"/>
                <w:szCs w:val="22"/>
              </w:rPr>
              <w:t>MATH-</w:t>
            </w:r>
            <w:r>
              <w:rPr>
                <w:rFonts w:ascii="Arial" w:eastAsia="Calibri" w:hAnsi="Arial" w:cs="Arial"/>
                <w:b/>
                <w:sz w:val="22"/>
                <w:szCs w:val="22"/>
              </w:rPr>
              <w:t xml:space="preserve">157/257 </w:t>
            </w:r>
            <w:r w:rsidRPr="0027296C">
              <w:rPr>
                <w:rFonts w:ascii="Arial" w:eastAsia="Calibri" w:hAnsi="Arial" w:cs="Arial"/>
                <w:b/>
                <w:sz w:val="22"/>
                <w:szCs w:val="22"/>
              </w:rPr>
              <w:t>and MATH-</w:t>
            </w:r>
            <w:r>
              <w:rPr>
                <w:rFonts w:ascii="Arial" w:eastAsia="Calibri" w:hAnsi="Arial" w:cs="Arial"/>
                <w:b/>
                <w:sz w:val="22"/>
                <w:szCs w:val="22"/>
              </w:rPr>
              <w:t>130 and 130PT</w:t>
            </w:r>
            <w:r w:rsidRPr="0027296C">
              <w:rPr>
                <w:rFonts w:ascii="Arial" w:eastAsia="Calibri" w:hAnsi="Arial" w:cs="Arial"/>
                <w:b/>
                <w:sz w:val="22"/>
                <w:szCs w:val="22"/>
              </w:rPr>
              <w:t>:</w:t>
            </w:r>
          </w:p>
          <w:p w14:paraId="1C2ED359" w14:textId="7D5AF42D" w:rsidR="0035019E" w:rsidRDefault="0035019E" w:rsidP="0035019E">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Pr>
                <w:rFonts w:ascii="Arial" w:eastAsia="Calibri" w:hAnsi="Arial" w:cs="Arial"/>
                <w:sz w:val="22"/>
                <w:szCs w:val="22"/>
              </w:rPr>
              <w:t>Data collection FA</w:t>
            </w:r>
            <w:r w:rsidR="00DE0E50">
              <w:rPr>
                <w:rFonts w:ascii="Arial" w:eastAsia="Calibri" w:hAnsi="Arial" w:cs="Arial"/>
                <w:sz w:val="22"/>
                <w:szCs w:val="22"/>
              </w:rPr>
              <w:t>21</w:t>
            </w:r>
            <w:r>
              <w:rPr>
                <w:rFonts w:ascii="Arial" w:eastAsia="Calibri" w:hAnsi="Arial" w:cs="Arial"/>
                <w:sz w:val="22"/>
                <w:szCs w:val="22"/>
              </w:rPr>
              <w:t>; review SP</w:t>
            </w:r>
            <w:r w:rsidR="00DE0E50">
              <w:rPr>
                <w:rFonts w:ascii="Arial" w:eastAsia="Calibri" w:hAnsi="Arial" w:cs="Arial"/>
                <w:sz w:val="22"/>
                <w:szCs w:val="22"/>
              </w:rPr>
              <w:t>22</w:t>
            </w:r>
            <w:r>
              <w:rPr>
                <w:rFonts w:ascii="Arial" w:eastAsia="Calibri" w:hAnsi="Arial" w:cs="Arial"/>
                <w:sz w:val="22"/>
                <w:szCs w:val="22"/>
              </w:rPr>
              <w:t>; report FA</w:t>
            </w:r>
            <w:r w:rsidR="00DE0E50">
              <w:rPr>
                <w:rFonts w:ascii="Arial" w:eastAsia="Calibri" w:hAnsi="Arial" w:cs="Arial"/>
                <w:sz w:val="22"/>
                <w:szCs w:val="22"/>
              </w:rPr>
              <w:t>22</w:t>
            </w:r>
          </w:p>
          <w:p w14:paraId="4B6EB321" w14:textId="77777777" w:rsidR="0035019E" w:rsidRDefault="0035019E" w:rsidP="0035019E">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2"/>
                <w:szCs w:val="22"/>
              </w:rPr>
            </w:pPr>
          </w:p>
          <w:p w14:paraId="70DAE2DC" w14:textId="77777777" w:rsidR="0035019E" w:rsidRPr="0027296C" w:rsidRDefault="0035019E" w:rsidP="0035019E">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2"/>
                <w:szCs w:val="22"/>
              </w:rPr>
            </w:pPr>
            <w:r w:rsidRPr="0027296C">
              <w:rPr>
                <w:rFonts w:ascii="Arial" w:eastAsia="Calibri" w:hAnsi="Arial" w:cs="Arial"/>
                <w:b/>
                <w:sz w:val="22"/>
                <w:szCs w:val="22"/>
              </w:rPr>
              <w:t>MATH-</w:t>
            </w:r>
            <w:r>
              <w:rPr>
                <w:rFonts w:ascii="Arial" w:eastAsia="Calibri" w:hAnsi="Arial" w:cs="Arial"/>
                <w:b/>
                <w:sz w:val="22"/>
                <w:szCs w:val="22"/>
              </w:rPr>
              <w:t>147, MATH-147B</w:t>
            </w:r>
            <w:r w:rsidRPr="0027296C">
              <w:rPr>
                <w:rFonts w:ascii="Arial" w:eastAsia="Calibri" w:hAnsi="Arial" w:cs="Arial"/>
                <w:b/>
                <w:sz w:val="22"/>
                <w:szCs w:val="22"/>
              </w:rPr>
              <w:t xml:space="preserve"> and MATH-</w:t>
            </w:r>
            <w:r>
              <w:rPr>
                <w:rFonts w:ascii="Arial" w:eastAsia="Calibri" w:hAnsi="Arial" w:cs="Arial"/>
                <w:b/>
                <w:sz w:val="22"/>
                <w:szCs w:val="22"/>
              </w:rPr>
              <w:t>170</w:t>
            </w:r>
            <w:r w:rsidRPr="0027296C">
              <w:rPr>
                <w:rFonts w:ascii="Arial" w:eastAsia="Calibri" w:hAnsi="Arial" w:cs="Arial"/>
                <w:b/>
                <w:sz w:val="22"/>
                <w:szCs w:val="22"/>
              </w:rPr>
              <w:t>:</w:t>
            </w:r>
          </w:p>
          <w:p w14:paraId="183E0504" w14:textId="15E46410" w:rsidR="0035019E" w:rsidRDefault="0035019E" w:rsidP="0035019E">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Pr>
                <w:rFonts w:ascii="Arial" w:eastAsia="Calibri" w:hAnsi="Arial" w:cs="Arial"/>
                <w:sz w:val="22"/>
                <w:szCs w:val="22"/>
              </w:rPr>
              <w:t>Data collection FA</w:t>
            </w:r>
            <w:r w:rsidR="00DE0E50">
              <w:rPr>
                <w:rFonts w:ascii="Arial" w:eastAsia="Calibri" w:hAnsi="Arial" w:cs="Arial"/>
                <w:sz w:val="22"/>
                <w:szCs w:val="22"/>
              </w:rPr>
              <w:t>20</w:t>
            </w:r>
            <w:r>
              <w:rPr>
                <w:rFonts w:ascii="Arial" w:eastAsia="Calibri" w:hAnsi="Arial" w:cs="Arial"/>
                <w:sz w:val="22"/>
                <w:szCs w:val="22"/>
              </w:rPr>
              <w:t>; review SP</w:t>
            </w:r>
            <w:r w:rsidR="00DE0E50">
              <w:rPr>
                <w:rFonts w:ascii="Arial" w:eastAsia="Calibri" w:hAnsi="Arial" w:cs="Arial"/>
                <w:sz w:val="22"/>
                <w:szCs w:val="22"/>
              </w:rPr>
              <w:t>21</w:t>
            </w:r>
            <w:r>
              <w:rPr>
                <w:rFonts w:ascii="Arial" w:eastAsia="Calibri" w:hAnsi="Arial" w:cs="Arial"/>
                <w:sz w:val="22"/>
                <w:szCs w:val="22"/>
              </w:rPr>
              <w:t>; report FA</w:t>
            </w:r>
            <w:r w:rsidR="00DE0E50">
              <w:rPr>
                <w:rFonts w:ascii="Arial" w:eastAsia="Calibri" w:hAnsi="Arial" w:cs="Arial"/>
                <w:sz w:val="22"/>
                <w:szCs w:val="22"/>
              </w:rPr>
              <w:t>21</w:t>
            </w:r>
          </w:p>
          <w:p w14:paraId="1E531DEE" w14:textId="77777777" w:rsidR="0035019E" w:rsidRDefault="0035019E" w:rsidP="0035019E">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2"/>
                <w:szCs w:val="22"/>
              </w:rPr>
            </w:pPr>
          </w:p>
          <w:p w14:paraId="75B00521" w14:textId="77777777" w:rsidR="0035019E" w:rsidRPr="0027296C" w:rsidRDefault="0035019E" w:rsidP="0035019E">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2"/>
                <w:szCs w:val="22"/>
              </w:rPr>
            </w:pPr>
            <w:r w:rsidRPr="0027296C">
              <w:rPr>
                <w:rFonts w:ascii="Arial" w:eastAsia="Calibri" w:hAnsi="Arial" w:cs="Arial"/>
                <w:b/>
                <w:sz w:val="22"/>
                <w:szCs w:val="22"/>
              </w:rPr>
              <w:t>MATH-123 and MATH-253:</w:t>
            </w:r>
          </w:p>
          <w:p w14:paraId="3EA8A7CF" w14:textId="5C23E2CC" w:rsidR="0035019E" w:rsidRPr="003D66B9" w:rsidRDefault="0035019E" w:rsidP="0035019E">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Pr>
                <w:rFonts w:ascii="Arial" w:eastAsia="Calibri" w:hAnsi="Arial" w:cs="Arial"/>
                <w:sz w:val="22"/>
                <w:szCs w:val="22"/>
              </w:rPr>
              <w:t xml:space="preserve">Data collection </w:t>
            </w:r>
            <w:r w:rsidRPr="003D66B9">
              <w:rPr>
                <w:rFonts w:ascii="Arial" w:eastAsia="Calibri" w:hAnsi="Arial" w:cs="Arial"/>
                <w:sz w:val="22"/>
                <w:szCs w:val="22"/>
              </w:rPr>
              <w:t>F</w:t>
            </w:r>
            <w:r>
              <w:rPr>
                <w:rFonts w:ascii="Arial" w:eastAsia="Calibri" w:hAnsi="Arial" w:cs="Arial"/>
                <w:sz w:val="22"/>
                <w:szCs w:val="22"/>
              </w:rPr>
              <w:t>A</w:t>
            </w:r>
            <w:r w:rsidR="00DE0E50">
              <w:rPr>
                <w:rFonts w:ascii="Arial" w:eastAsia="Calibri" w:hAnsi="Arial" w:cs="Arial"/>
                <w:sz w:val="22"/>
                <w:szCs w:val="22"/>
              </w:rPr>
              <w:t>19</w:t>
            </w:r>
            <w:r>
              <w:rPr>
                <w:rFonts w:ascii="Arial" w:eastAsia="Calibri" w:hAnsi="Arial" w:cs="Arial"/>
                <w:sz w:val="22"/>
                <w:szCs w:val="22"/>
              </w:rPr>
              <w:t>; review SP</w:t>
            </w:r>
            <w:r w:rsidR="00DE0E50">
              <w:rPr>
                <w:rFonts w:ascii="Arial" w:eastAsia="Calibri" w:hAnsi="Arial" w:cs="Arial"/>
                <w:sz w:val="22"/>
                <w:szCs w:val="22"/>
              </w:rPr>
              <w:t>20</w:t>
            </w:r>
            <w:r>
              <w:rPr>
                <w:rFonts w:ascii="Arial" w:eastAsia="Calibri" w:hAnsi="Arial" w:cs="Arial"/>
                <w:sz w:val="22"/>
                <w:szCs w:val="22"/>
              </w:rPr>
              <w:t>; report FA</w:t>
            </w:r>
            <w:r w:rsidR="00DE0E50">
              <w:rPr>
                <w:rFonts w:ascii="Arial" w:eastAsia="Calibri" w:hAnsi="Arial" w:cs="Arial"/>
                <w:sz w:val="22"/>
                <w:szCs w:val="22"/>
              </w:rPr>
              <w:t>20</w:t>
            </w:r>
          </w:p>
        </w:tc>
      </w:tr>
      <w:tr w:rsidR="0035019E" w:rsidRPr="003D66B9" w14:paraId="64A9D7F8" w14:textId="77777777" w:rsidTr="003D66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4D0AA514" w14:textId="3058C153" w:rsidR="0035019E" w:rsidRPr="003D66B9" w:rsidRDefault="0035019E" w:rsidP="0035019E">
            <w:pPr>
              <w:ind w:left="450"/>
              <w:rPr>
                <w:rFonts w:ascii="Arial" w:hAnsi="Arial" w:cs="Arial"/>
                <w:b w:val="0"/>
                <w:sz w:val="22"/>
                <w:szCs w:val="22"/>
              </w:rPr>
            </w:pPr>
            <w:r w:rsidRPr="003D66B9">
              <w:rPr>
                <w:rFonts w:ascii="Arial" w:hAnsi="Arial" w:cs="Arial"/>
                <w:b w:val="0"/>
                <w:sz w:val="22"/>
                <w:szCs w:val="22"/>
              </w:rPr>
              <w:t>Results</w:t>
            </w:r>
          </w:p>
        </w:tc>
        <w:tc>
          <w:tcPr>
            <w:tcW w:w="5480" w:type="dxa"/>
          </w:tcPr>
          <w:p w14:paraId="04059175" w14:textId="05BC3187" w:rsidR="0035019E" w:rsidRPr="003D66B9" w:rsidRDefault="0035019E" w:rsidP="0035019E">
            <w:p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 w:val="22"/>
                <w:szCs w:val="22"/>
              </w:rPr>
            </w:pPr>
          </w:p>
        </w:tc>
      </w:tr>
      <w:tr w:rsidR="0035019E" w:rsidRPr="003D66B9" w14:paraId="51DC8796" w14:textId="77777777" w:rsidTr="003D6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55FC9B25" w14:textId="57FD5FF2" w:rsidR="0035019E" w:rsidRPr="003D66B9" w:rsidRDefault="0035019E" w:rsidP="0035019E">
            <w:pPr>
              <w:ind w:left="450"/>
              <w:rPr>
                <w:rFonts w:ascii="Arial" w:hAnsi="Arial" w:cs="Arial"/>
                <w:b w:val="0"/>
                <w:bCs w:val="0"/>
                <w:sz w:val="22"/>
                <w:szCs w:val="22"/>
              </w:rPr>
            </w:pPr>
            <w:r w:rsidRPr="003D66B9">
              <w:rPr>
                <w:rFonts w:ascii="Arial" w:hAnsi="Arial" w:cs="Arial"/>
                <w:b w:val="0"/>
                <w:sz w:val="22"/>
                <w:szCs w:val="22"/>
              </w:rPr>
              <w:t>Analysis</w:t>
            </w:r>
          </w:p>
        </w:tc>
        <w:tc>
          <w:tcPr>
            <w:tcW w:w="5480" w:type="dxa"/>
          </w:tcPr>
          <w:p w14:paraId="56D8AFC9" w14:textId="32A52376" w:rsidR="0035019E" w:rsidRPr="003D66B9" w:rsidRDefault="0035019E" w:rsidP="0035019E">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p>
        </w:tc>
      </w:tr>
      <w:tr w:rsidR="0035019E" w:rsidRPr="003D66B9" w14:paraId="69B8C279" w14:textId="77777777" w:rsidTr="003D66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62CF3436" w14:textId="2E56BC1A" w:rsidR="0035019E" w:rsidRPr="003D66B9" w:rsidRDefault="0035019E" w:rsidP="0035019E">
            <w:pPr>
              <w:ind w:left="450"/>
              <w:rPr>
                <w:rFonts w:ascii="Arial" w:hAnsi="Arial" w:cs="Arial"/>
                <w:b w:val="0"/>
                <w:sz w:val="22"/>
                <w:szCs w:val="22"/>
              </w:rPr>
            </w:pPr>
            <w:r w:rsidRPr="003D66B9">
              <w:rPr>
                <w:rFonts w:ascii="Arial" w:hAnsi="Arial" w:cs="Arial"/>
                <w:b w:val="0"/>
                <w:sz w:val="22"/>
                <w:szCs w:val="22"/>
              </w:rPr>
              <w:t>Work Plan Element</w:t>
            </w:r>
          </w:p>
        </w:tc>
        <w:tc>
          <w:tcPr>
            <w:tcW w:w="5480" w:type="dxa"/>
          </w:tcPr>
          <w:p w14:paraId="4212E3C5" w14:textId="77777777" w:rsidR="0035019E" w:rsidRPr="003D66B9" w:rsidRDefault="0035019E" w:rsidP="0035019E">
            <w:pP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tc>
      </w:tr>
      <w:tr w:rsidR="0035019E" w:rsidRPr="003D66B9" w14:paraId="78B755C4" w14:textId="77777777" w:rsidTr="003D6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700987DA" w14:textId="507B0E95" w:rsidR="0035019E" w:rsidRPr="003D66B9" w:rsidRDefault="0035019E" w:rsidP="0035019E">
            <w:pPr>
              <w:ind w:left="450"/>
              <w:rPr>
                <w:rFonts w:ascii="Arial" w:hAnsi="Arial" w:cs="Arial"/>
                <w:b w:val="0"/>
                <w:sz w:val="22"/>
                <w:szCs w:val="22"/>
              </w:rPr>
            </w:pPr>
            <w:r w:rsidRPr="003D66B9">
              <w:rPr>
                <w:rFonts w:ascii="Arial" w:hAnsi="Arial" w:cs="Arial"/>
                <w:b w:val="0"/>
                <w:bCs w:val="0"/>
                <w:sz w:val="22"/>
                <w:szCs w:val="22"/>
              </w:rPr>
              <w:t>Courses to be Assessed</w:t>
            </w:r>
          </w:p>
        </w:tc>
        <w:tc>
          <w:tcPr>
            <w:tcW w:w="5480" w:type="dxa"/>
          </w:tcPr>
          <w:p w14:paraId="38ADA59D" w14:textId="1BEB3B81" w:rsidR="0035019E" w:rsidRPr="003D66B9" w:rsidRDefault="0035019E" w:rsidP="0035019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D66B9">
              <w:rPr>
                <w:rFonts w:ascii="Arial" w:hAnsi="Arial" w:cs="Arial"/>
                <w:sz w:val="22"/>
                <w:szCs w:val="22"/>
              </w:rPr>
              <w:t>MATH-123</w:t>
            </w:r>
            <w:r w:rsidRPr="003D66B9">
              <w:rPr>
                <w:rFonts w:ascii="Arial" w:hAnsi="Arial" w:cs="Arial"/>
                <w:b/>
                <w:bCs/>
                <w:sz w:val="22"/>
                <w:szCs w:val="22"/>
              </w:rPr>
              <w:t xml:space="preserve">, </w:t>
            </w:r>
            <w:r w:rsidRPr="003D66B9">
              <w:rPr>
                <w:rFonts w:ascii="Arial" w:hAnsi="Arial" w:cs="Arial"/>
                <w:sz w:val="22"/>
                <w:szCs w:val="22"/>
              </w:rPr>
              <w:t>MATH-143</w:t>
            </w:r>
            <w:r w:rsidRPr="003D66B9">
              <w:rPr>
                <w:rFonts w:ascii="Arial" w:hAnsi="Arial" w:cs="Arial"/>
                <w:b/>
                <w:bCs/>
                <w:sz w:val="22"/>
                <w:szCs w:val="22"/>
              </w:rPr>
              <w:t xml:space="preserve">, </w:t>
            </w:r>
            <w:r w:rsidRPr="003D66B9">
              <w:rPr>
                <w:rFonts w:ascii="Arial" w:hAnsi="Arial" w:cs="Arial"/>
                <w:sz w:val="22"/>
                <w:szCs w:val="22"/>
              </w:rPr>
              <w:t>MATH-147</w:t>
            </w:r>
            <w:r w:rsidRPr="003D66B9">
              <w:rPr>
                <w:rFonts w:ascii="Arial" w:hAnsi="Arial" w:cs="Arial"/>
                <w:b/>
                <w:bCs/>
                <w:sz w:val="22"/>
                <w:szCs w:val="22"/>
              </w:rPr>
              <w:t xml:space="preserve">, </w:t>
            </w:r>
            <w:r w:rsidRPr="003D66B9">
              <w:rPr>
                <w:rFonts w:ascii="Arial" w:hAnsi="Arial" w:cs="Arial"/>
                <w:sz w:val="22"/>
                <w:szCs w:val="22"/>
              </w:rPr>
              <w:t>MATH-153</w:t>
            </w:r>
            <w:r w:rsidRPr="003D66B9">
              <w:rPr>
                <w:rFonts w:ascii="Arial" w:hAnsi="Arial" w:cs="Arial"/>
                <w:b/>
                <w:bCs/>
                <w:sz w:val="22"/>
                <w:szCs w:val="22"/>
              </w:rPr>
              <w:t xml:space="preserve">, </w:t>
            </w:r>
            <w:r w:rsidRPr="003D66B9">
              <w:rPr>
                <w:rFonts w:ascii="Arial" w:hAnsi="Arial" w:cs="Arial"/>
                <w:sz w:val="22"/>
                <w:szCs w:val="22"/>
              </w:rPr>
              <w:t>MATH-170</w:t>
            </w:r>
            <w:r w:rsidRPr="003D66B9">
              <w:rPr>
                <w:rFonts w:ascii="Arial" w:hAnsi="Arial" w:cs="Arial"/>
                <w:b/>
                <w:bCs/>
                <w:sz w:val="22"/>
                <w:szCs w:val="22"/>
              </w:rPr>
              <w:t xml:space="preserve">, </w:t>
            </w:r>
            <w:r w:rsidRPr="003D66B9">
              <w:rPr>
                <w:rFonts w:ascii="Arial" w:hAnsi="Arial" w:cs="Arial"/>
                <w:sz w:val="22"/>
                <w:szCs w:val="22"/>
              </w:rPr>
              <w:t>MATH-253</w:t>
            </w:r>
            <w:r w:rsidRPr="003D66B9">
              <w:rPr>
                <w:rFonts w:ascii="Arial" w:hAnsi="Arial" w:cs="Arial"/>
                <w:b/>
                <w:bCs/>
                <w:sz w:val="22"/>
                <w:szCs w:val="22"/>
              </w:rPr>
              <w:t xml:space="preserve">, </w:t>
            </w:r>
            <w:r w:rsidRPr="003D66B9">
              <w:rPr>
                <w:rFonts w:ascii="Arial" w:hAnsi="Arial" w:cs="Arial"/>
                <w:sz w:val="22"/>
                <w:szCs w:val="22"/>
              </w:rPr>
              <w:t>MATH-257</w:t>
            </w:r>
            <w:r w:rsidRPr="003D66B9">
              <w:rPr>
                <w:rFonts w:ascii="Arial" w:hAnsi="Arial" w:cs="Arial"/>
                <w:b/>
                <w:bCs/>
                <w:sz w:val="22"/>
                <w:szCs w:val="22"/>
              </w:rPr>
              <w:t xml:space="preserve">, </w:t>
            </w:r>
            <w:r w:rsidRPr="003D66B9">
              <w:rPr>
                <w:rFonts w:ascii="Arial" w:hAnsi="Arial" w:cs="Arial"/>
                <w:sz w:val="22"/>
                <w:szCs w:val="22"/>
              </w:rPr>
              <w:t>MTHPT-130</w:t>
            </w:r>
            <w:r w:rsidRPr="003D66B9">
              <w:rPr>
                <w:rFonts w:ascii="Arial" w:hAnsi="Arial" w:cs="Arial"/>
                <w:b/>
                <w:bCs/>
                <w:sz w:val="22"/>
                <w:szCs w:val="22"/>
              </w:rPr>
              <w:t xml:space="preserve">, </w:t>
            </w:r>
            <w:r w:rsidRPr="003D66B9">
              <w:rPr>
                <w:rFonts w:ascii="Arial" w:hAnsi="Arial" w:cs="Arial"/>
                <w:sz w:val="22"/>
                <w:szCs w:val="22"/>
              </w:rPr>
              <w:t>MTHPT-137, MTHPT-153</w:t>
            </w:r>
          </w:p>
        </w:tc>
      </w:tr>
    </w:tbl>
    <w:p w14:paraId="4D3A9308" w14:textId="4F0DD2EC" w:rsidR="003D66B9" w:rsidRDefault="003D66B9">
      <w:pPr>
        <w:rPr>
          <w:rFonts w:ascii="Arial" w:hAnsi="Arial" w:cs="Arial"/>
          <w:b/>
          <w:bCs/>
          <w:color w:val="000000"/>
          <w:sz w:val="22"/>
          <w:szCs w:val="22"/>
        </w:rPr>
      </w:pPr>
      <w:r>
        <w:rPr>
          <w:rFonts w:ascii="Arial" w:hAnsi="Arial" w:cs="Arial"/>
          <w:b/>
          <w:bCs/>
          <w:sz w:val="22"/>
          <w:szCs w:val="22"/>
        </w:rPr>
        <w:br w:type="page"/>
      </w:r>
    </w:p>
    <w:tbl>
      <w:tblPr>
        <w:tblStyle w:val="LightGrid-Accent11"/>
        <w:tblW w:w="0" w:type="auto"/>
        <w:tblLook w:val="04A0" w:firstRow="1" w:lastRow="0" w:firstColumn="1" w:lastColumn="0" w:noHBand="0" w:noVBand="1"/>
      </w:tblPr>
      <w:tblGrid>
        <w:gridCol w:w="3140"/>
        <w:gridCol w:w="5480"/>
      </w:tblGrid>
      <w:tr w:rsidR="008C18F4" w:rsidRPr="003D66B9" w14:paraId="1678FBA8" w14:textId="77777777" w:rsidTr="003D66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288D5BB9" w14:textId="77777777" w:rsidR="008C18F4" w:rsidRPr="003D66B9" w:rsidRDefault="008C18F4" w:rsidP="005800CF">
            <w:pPr>
              <w:rPr>
                <w:rFonts w:ascii="Arial" w:hAnsi="Arial" w:cs="Arial"/>
                <w:sz w:val="22"/>
                <w:szCs w:val="22"/>
              </w:rPr>
            </w:pPr>
            <w:r w:rsidRPr="003D66B9">
              <w:rPr>
                <w:rFonts w:ascii="Arial" w:hAnsi="Arial" w:cs="Arial"/>
                <w:sz w:val="22"/>
                <w:szCs w:val="22"/>
              </w:rPr>
              <w:lastRenderedPageBreak/>
              <w:t>Goal/Outcome:</w:t>
            </w:r>
          </w:p>
        </w:tc>
        <w:tc>
          <w:tcPr>
            <w:tcW w:w="5480" w:type="dxa"/>
          </w:tcPr>
          <w:p w14:paraId="52049FF3" w14:textId="39976D8A" w:rsidR="008C18F4" w:rsidRPr="003D66B9" w:rsidRDefault="003D66B9" w:rsidP="005800CF">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D66B9">
              <w:rPr>
                <w:rFonts w:ascii="Arial" w:hAnsi="Arial" w:cs="Arial"/>
                <w:sz w:val="22"/>
                <w:szCs w:val="22"/>
              </w:rPr>
              <w:t xml:space="preserve">Students </w:t>
            </w:r>
            <w:r>
              <w:rPr>
                <w:rFonts w:ascii="Arial" w:hAnsi="Arial" w:cs="Arial"/>
                <w:sz w:val="22"/>
                <w:szCs w:val="22"/>
              </w:rPr>
              <w:t xml:space="preserve">Will Meet </w:t>
            </w:r>
            <w:r w:rsidRPr="003D66B9">
              <w:rPr>
                <w:rFonts w:ascii="Arial" w:hAnsi="Arial" w:cs="Arial"/>
                <w:sz w:val="22"/>
                <w:szCs w:val="22"/>
              </w:rPr>
              <w:t>the General Education Learning Outcome</w:t>
            </w:r>
            <w:r>
              <w:rPr>
                <w:rFonts w:ascii="Arial" w:hAnsi="Arial" w:cs="Arial"/>
                <w:sz w:val="22"/>
                <w:szCs w:val="22"/>
              </w:rPr>
              <w:t>s</w:t>
            </w:r>
            <w:r w:rsidRPr="003D66B9">
              <w:rPr>
                <w:rFonts w:ascii="Arial" w:hAnsi="Arial" w:cs="Arial"/>
                <w:sz w:val="22"/>
                <w:szCs w:val="22"/>
              </w:rPr>
              <w:t xml:space="preserve"> for Mathematical Ways of Knowing</w:t>
            </w:r>
          </w:p>
        </w:tc>
      </w:tr>
      <w:tr w:rsidR="008C18F4" w:rsidRPr="003D66B9" w14:paraId="2137E02A" w14:textId="77777777" w:rsidTr="003D6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3A5B0F5C" w14:textId="4CB887F3" w:rsidR="008C18F4" w:rsidRPr="003D66B9" w:rsidRDefault="008C18F4" w:rsidP="005800CF">
            <w:pPr>
              <w:rPr>
                <w:rFonts w:ascii="Arial" w:hAnsi="Arial" w:cs="Arial"/>
                <w:b w:val="0"/>
                <w:sz w:val="22"/>
                <w:szCs w:val="22"/>
              </w:rPr>
            </w:pPr>
            <w:r w:rsidRPr="003D66B9">
              <w:rPr>
                <w:rFonts w:ascii="Arial" w:hAnsi="Arial" w:cs="Arial"/>
                <w:b w:val="0"/>
                <w:sz w:val="22"/>
                <w:szCs w:val="22"/>
              </w:rPr>
              <w:t>GELO 2</w:t>
            </w:r>
          </w:p>
        </w:tc>
        <w:tc>
          <w:tcPr>
            <w:tcW w:w="5480" w:type="dxa"/>
          </w:tcPr>
          <w:p w14:paraId="52690028" w14:textId="4688BB12" w:rsidR="008C18F4" w:rsidRPr="003D66B9" w:rsidRDefault="008C18F4" w:rsidP="005800C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D66B9">
              <w:rPr>
                <w:rFonts w:ascii="Arial" w:hAnsi="Arial" w:cs="Arial"/>
                <w:sz w:val="22"/>
                <w:szCs w:val="22"/>
              </w:rPr>
              <w:t xml:space="preserve">Represent </w:t>
            </w:r>
            <w:r w:rsidR="00B740C4">
              <w:rPr>
                <w:rFonts w:ascii="Arial" w:hAnsi="Arial" w:cs="Arial"/>
                <w:sz w:val="22"/>
                <w:szCs w:val="22"/>
              </w:rPr>
              <w:t xml:space="preserve">and interpret </w:t>
            </w:r>
            <w:r w:rsidRPr="003D66B9">
              <w:rPr>
                <w:rFonts w:ascii="Arial" w:hAnsi="Arial" w:cs="Arial"/>
                <w:sz w:val="22"/>
                <w:szCs w:val="22"/>
              </w:rPr>
              <w:t>information/data.</w:t>
            </w:r>
          </w:p>
        </w:tc>
      </w:tr>
      <w:tr w:rsidR="00982742" w:rsidRPr="003D66B9" w14:paraId="3E9C429E" w14:textId="77777777" w:rsidTr="003D66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779F78BB" w14:textId="104CA69D" w:rsidR="00982742" w:rsidRPr="003D66B9" w:rsidRDefault="00982742" w:rsidP="00982742">
            <w:pPr>
              <w:ind w:left="450"/>
              <w:rPr>
                <w:rFonts w:ascii="Arial" w:hAnsi="Arial" w:cs="Arial"/>
                <w:b w:val="0"/>
                <w:bCs w:val="0"/>
                <w:sz w:val="22"/>
                <w:szCs w:val="22"/>
              </w:rPr>
            </w:pPr>
            <w:r w:rsidRPr="003D66B9">
              <w:rPr>
                <w:rFonts w:ascii="Arial" w:hAnsi="Arial" w:cs="Arial"/>
                <w:b w:val="0"/>
                <w:sz w:val="22"/>
                <w:szCs w:val="22"/>
              </w:rPr>
              <w:t>Assessment Method</w:t>
            </w:r>
          </w:p>
        </w:tc>
        <w:tc>
          <w:tcPr>
            <w:tcW w:w="5480" w:type="dxa"/>
          </w:tcPr>
          <w:p w14:paraId="3BE79718" w14:textId="67A09147" w:rsidR="00982742" w:rsidRPr="003D66B9" w:rsidRDefault="00982742" w:rsidP="00982742">
            <w:p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 w:val="22"/>
                <w:szCs w:val="22"/>
              </w:rPr>
            </w:pPr>
            <w:r w:rsidRPr="003D66B9">
              <w:rPr>
                <w:rFonts w:ascii="Arial" w:hAnsi="Arial" w:cs="Arial"/>
                <w:sz w:val="22"/>
                <w:szCs w:val="22"/>
              </w:rPr>
              <w:t xml:space="preserve">The team will develop a common assessment for each course that represents the ability of students to not only do the mathematical manipulations but also to meet the General Education Learning Outcomes. The assessment topic will be relevant to the course being assessed. All sections of a given course will use the same assessment. The </w:t>
            </w:r>
            <w:r>
              <w:rPr>
                <w:rFonts w:ascii="Arial" w:hAnsi="Arial" w:cs="Arial"/>
                <w:sz w:val="22"/>
                <w:szCs w:val="22"/>
              </w:rPr>
              <w:t xml:space="preserve">Mathematical Ways of Knowing </w:t>
            </w:r>
            <w:r w:rsidRPr="003D66B9">
              <w:rPr>
                <w:rFonts w:ascii="Arial" w:hAnsi="Arial" w:cs="Arial"/>
                <w:sz w:val="22"/>
                <w:szCs w:val="22"/>
              </w:rPr>
              <w:t>Assessment Committee for each course will review the results for 100% of the students’ assessments.</w:t>
            </w:r>
          </w:p>
        </w:tc>
      </w:tr>
      <w:tr w:rsidR="00982742" w:rsidRPr="003D66B9" w14:paraId="6B29B9C9" w14:textId="77777777" w:rsidTr="003D6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0BB48B82" w14:textId="15F22C22" w:rsidR="00982742" w:rsidRPr="003D66B9" w:rsidRDefault="00982742" w:rsidP="00982742">
            <w:pPr>
              <w:ind w:left="450"/>
              <w:rPr>
                <w:rFonts w:ascii="Arial" w:hAnsi="Arial" w:cs="Arial"/>
                <w:b w:val="0"/>
                <w:sz w:val="22"/>
                <w:szCs w:val="22"/>
              </w:rPr>
            </w:pPr>
            <w:r w:rsidRPr="003D66B9">
              <w:rPr>
                <w:rFonts w:ascii="Arial" w:hAnsi="Arial" w:cs="Arial"/>
                <w:b w:val="0"/>
                <w:sz w:val="22"/>
                <w:szCs w:val="22"/>
              </w:rPr>
              <w:t>Benchmark</w:t>
            </w:r>
          </w:p>
        </w:tc>
        <w:tc>
          <w:tcPr>
            <w:tcW w:w="5480" w:type="dxa"/>
          </w:tcPr>
          <w:p w14:paraId="2858A11E" w14:textId="0693D7F1" w:rsidR="00982742" w:rsidRPr="003D66B9" w:rsidRDefault="00982742" w:rsidP="00982742">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sidRPr="003D66B9">
              <w:rPr>
                <w:rFonts w:ascii="Arial" w:hAnsi="Arial" w:cs="Arial"/>
                <w:sz w:val="22"/>
                <w:szCs w:val="22"/>
              </w:rPr>
              <w:t>75% of students meeting end-of-course expectations</w:t>
            </w:r>
          </w:p>
        </w:tc>
      </w:tr>
      <w:tr w:rsidR="00982742" w:rsidRPr="003D66B9" w14:paraId="55931488" w14:textId="77777777" w:rsidTr="003D66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3AC95592" w14:textId="70CFE5E1" w:rsidR="00982742" w:rsidRPr="003D66B9" w:rsidRDefault="00982742" w:rsidP="00982742">
            <w:pPr>
              <w:ind w:left="450"/>
              <w:rPr>
                <w:rFonts w:ascii="Arial" w:hAnsi="Arial" w:cs="Arial"/>
                <w:b w:val="0"/>
                <w:sz w:val="22"/>
                <w:szCs w:val="22"/>
              </w:rPr>
            </w:pPr>
            <w:r w:rsidRPr="003D66B9">
              <w:rPr>
                <w:rFonts w:ascii="Arial" w:hAnsi="Arial" w:cs="Arial"/>
                <w:b w:val="0"/>
                <w:sz w:val="22"/>
                <w:szCs w:val="22"/>
              </w:rPr>
              <w:t>Data Sources</w:t>
            </w:r>
          </w:p>
        </w:tc>
        <w:tc>
          <w:tcPr>
            <w:tcW w:w="5480" w:type="dxa"/>
          </w:tcPr>
          <w:p w14:paraId="72B2E4D1" w14:textId="77777777" w:rsidR="00982742" w:rsidRPr="003D66B9" w:rsidRDefault="00982742" w:rsidP="00982742">
            <w:p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3D66B9">
              <w:rPr>
                <w:rFonts w:ascii="Arial" w:hAnsi="Arial" w:cs="Arial"/>
                <w:sz w:val="22"/>
                <w:szCs w:val="22"/>
              </w:rPr>
              <w:t xml:space="preserve">Each fall, the students’ assessments will be collected and provided to the course assessment team who will review the artifacts in the spring semester. Assessments for Dual Credit sections will be distributed to teachers in the spring semester instead of the fall semester. </w:t>
            </w:r>
          </w:p>
          <w:p w14:paraId="54011E56" w14:textId="77777777" w:rsidR="00982742" w:rsidRPr="003D66B9" w:rsidRDefault="00982742" w:rsidP="00982742">
            <w:p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p w14:paraId="58E49E20" w14:textId="49F59F2F" w:rsidR="00982742" w:rsidRPr="003D66B9" w:rsidRDefault="00982742" w:rsidP="00982742">
            <w:p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B740C4">
              <w:rPr>
                <w:rFonts w:ascii="Arial" w:hAnsi="Arial" w:cs="Arial"/>
                <w:b/>
                <w:sz w:val="22"/>
                <w:szCs w:val="22"/>
              </w:rPr>
              <w:t>Note:</w:t>
            </w:r>
            <w:r w:rsidRPr="003D66B9">
              <w:rPr>
                <w:rFonts w:ascii="Arial" w:hAnsi="Arial" w:cs="Arial"/>
                <w:sz w:val="22"/>
                <w:szCs w:val="22"/>
              </w:rPr>
              <w:t xml:space="preserve"> Statistics done by the math faculty have demonstrated that analyzing any proportion of the quizzes, rather than all of them, could result in either over-estimation or under-estimation of the student’s actual abilities.</w:t>
            </w:r>
          </w:p>
        </w:tc>
      </w:tr>
      <w:tr w:rsidR="00DE0E50" w:rsidRPr="003D66B9" w14:paraId="4D2095DA" w14:textId="77777777" w:rsidTr="003D6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06877642" w14:textId="6EE8B506" w:rsidR="00DE0E50" w:rsidRPr="003D66B9" w:rsidRDefault="00DE0E50" w:rsidP="00DE0E50">
            <w:pPr>
              <w:ind w:left="450"/>
              <w:rPr>
                <w:rFonts w:ascii="Arial" w:hAnsi="Arial" w:cs="Arial"/>
                <w:b w:val="0"/>
                <w:sz w:val="22"/>
                <w:szCs w:val="22"/>
              </w:rPr>
            </w:pPr>
            <w:r w:rsidRPr="003D66B9">
              <w:rPr>
                <w:rFonts w:ascii="Arial" w:hAnsi="Arial" w:cs="Arial"/>
                <w:b w:val="0"/>
                <w:sz w:val="22"/>
                <w:szCs w:val="22"/>
              </w:rPr>
              <w:t>Relevant Dates</w:t>
            </w:r>
          </w:p>
        </w:tc>
        <w:tc>
          <w:tcPr>
            <w:tcW w:w="5480" w:type="dxa"/>
          </w:tcPr>
          <w:p w14:paraId="29409A01" w14:textId="77777777" w:rsidR="00DE0E50" w:rsidRDefault="00DE0E50" w:rsidP="00DE0E5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Data collection FA25; review SP26; report FA26; report to faculty SP27</w:t>
            </w:r>
          </w:p>
          <w:p w14:paraId="2E60F041" w14:textId="77777777" w:rsidR="00DE0E50" w:rsidRDefault="00DE0E50" w:rsidP="00DE0E5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57EDC9EC" w14:textId="77777777" w:rsidR="00DE0E50" w:rsidRPr="0027296C" w:rsidRDefault="00DE0E50" w:rsidP="00DE0E50">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2"/>
                <w:szCs w:val="22"/>
              </w:rPr>
            </w:pPr>
            <w:r w:rsidRPr="0027296C">
              <w:rPr>
                <w:rFonts w:ascii="Arial" w:eastAsia="Calibri" w:hAnsi="Arial" w:cs="Arial"/>
                <w:b/>
                <w:sz w:val="22"/>
                <w:szCs w:val="22"/>
              </w:rPr>
              <w:t>MATH-</w:t>
            </w:r>
            <w:r>
              <w:rPr>
                <w:rFonts w:ascii="Arial" w:eastAsia="Calibri" w:hAnsi="Arial" w:cs="Arial"/>
                <w:b/>
                <w:sz w:val="22"/>
                <w:szCs w:val="22"/>
              </w:rPr>
              <w:t xml:space="preserve">157/257 </w:t>
            </w:r>
            <w:r w:rsidRPr="0027296C">
              <w:rPr>
                <w:rFonts w:ascii="Arial" w:eastAsia="Calibri" w:hAnsi="Arial" w:cs="Arial"/>
                <w:b/>
                <w:sz w:val="22"/>
                <w:szCs w:val="22"/>
              </w:rPr>
              <w:t>and MATH-</w:t>
            </w:r>
            <w:r>
              <w:rPr>
                <w:rFonts w:ascii="Arial" w:eastAsia="Calibri" w:hAnsi="Arial" w:cs="Arial"/>
                <w:b/>
                <w:sz w:val="22"/>
                <w:szCs w:val="22"/>
              </w:rPr>
              <w:t>130 and 130PT</w:t>
            </w:r>
            <w:r w:rsidRPr="0027296C">
              <w:rPr>
                <w:rFonts w:ascii="Arial" w:eastAsia="Calibri" w:hAnsi="Arial" w:cs="Arial"/>
                <w:b/>
                <w:sz w:val="22"/>
                <w:szCs w:val="22"/>
              </w:rPr>
              <w:t>:</w:t>
            </w:r>
          </w:p>
          <w:p w14:paraId="58685A8B" w14:textId="77777777" w:rsidR="00DE0E50" w:rsidRDefault="00DE0E50" w:rsidP="00DE0E50">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Pr>
                <w:rFonts w:ascii="Arial" w:eastAsia="Calibri" w:hAnsi="Arial" w:cs="Arial"/>
                <w:sz w:val="22"/>
                <w:szCs w:val="22"/>
              </w:rPr>
              <w:t>Data collection FA21; review SP22; report FA22</w:t>
            </w:r>
          </w:p>
          <w:p w14:paraId="36667158" w14:textId="77777777" w:rsidR="00DE0E50" w:rsidRDefault="00DE0E50" w:rsidP="00DE0E50">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2"/>
                <w:szCs w:val="22"/>
              </w:rPr>
            </w:pPr>
          </w:p>
          <w:p w14:paraId="1317178F" w14:textId="77777777" w:rsidR="00DE0E50" w:rsidRPr="0027296C" w:rsidRDefault="00DE0E50" w:rsidP="00DE0E50">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2"/>
                <w:szCs w:val="22"/>
              </w:rPr>
            </w:pPr>
            <w:r w:rsidRPr="0027296C">
              <w:rPr>
                <w:rFonts w:ascii="Arial" w:eastAsia="Calibri" w:hAnsi="Arial" w:cs="Arial"/>
                <w:b/>
                <w:sz w:val="22"/>
                <w:szCs w:val="22"/>
              </w:rPr>
              <w:t>MATH-</w:t>
            </w:r>
            <w:r>
              <w:rPr>
                <w:rFonts w:ascii="Arial" w:eastAsia="Calibri" w:hAnsi="Arial" w:cs="Arial"/>
                <w:b/>
                <w:sz w:val="22"/>
                <w:szCs w:val="22"/>
              </w:rPr>
              <w:t>147, MATH-147B</w:t>
            </w:r>
            <w:r w:rsidRPr="0027296C">
              <w:rPr>
                <w:rFonts w:ascii="Arial" w:eastAsia="Calibri" w:hAnsi="Arial" w:cs="Arial"/>
                <w:b/>
                <w:sz w:val="22"/>
                <w:szCs w:val="22"/>
              </w:rPr>
              <w:t xml:space="preserve"> and MATH-</w:t>
            </w:r>
            <w:r>
              <w:rPr>
                <w:rFonts w:ascii="Arial" w:eastAsia="Calibri" w:hAnsi="Arial" w:cs="Arial"/>
                <w:b/>
                <w:sz w:val="22"/>
                <w:szCs w:val="22"/>
              </w:rPr>
              <w:t>170</w:t>
            </w:r>
            <w:r w:rsidRPr="0027296C">
              <w:rPr>
                <w:rFonts w:ascii="Arial" w:eastAsia="Calibri" w:hAnsi="Arial" w:cs="Arial"/>
                <w:b/>
                <w:sz w:val="22"/>
                <w:szCs w:val="22"/>
              </w:rPr>
              <w:t>:</w:t>
            </w:r>
          </w:p>
          <w:p w14:paraId="77EF9393" w14:textId="77777777" w:rsidR="00DE0E50" w:rsidRDefault="00DE0E50" w:rsidP="00DE0E50">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Pr>
                <w:rFonts w:ascii="Arial" w:eastAsia="Calibri" w:hAnsi="Arial" w:cs="Arial"/>
                <w:sz w:val="22"/>
                <w:szCs w:val="22"/>
              </w:rPr>
              <w:t>Data collection FA20; review SP21; report FA21</w:t>
            </w:r>
          </w:p>
          <w:p w14:paraId="3CFD6B4F" w14:textId="77777777" w:rsidR="00DE0E50" w:rsidRDefault="00DE0E50" w:rsidP="00DE0E50">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2"/>
                <w:szCs w:val="22"/>
              </w:rPr>
            </w:pPr>
          </w:p>
          <w:p w14:paraId="610A87BE" w14:textId="77777777" w:rsidR="00DE0E50" w:rsidRPr="0027296C" w:rsidRDefault="00DE0E50" w:rsidP="00DE0E50">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2"/>
                <w:szCs w:val="22"/>
              </w:rPr>
            </w:pPr>
            <w:r w:rsidRPr="0027296C">
              <w:rPr>
                <w:rFonts w:ascii="Arial" w:eastAsia="Calibri" w:hAnsi="Arial" w:cs="Arial"/>
                <w:b/>
                <w:sz w:val="22"/>
                <w:szCs w:val="22"/>
              </w:rPr>
              <w:t>MATH-123 and MATH-253:</w:t>
            </w:r>
          </w:p>
          <w:p w14:paraId="1B635780" w14:textId="6C068041" w:rsidR="00DE0E50" w:rsidRPr="003D66B9" w:rsidRDefault="00DE0E50" w:rsidP="00DE0E50">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Pr>
                <w:rFonts w:ascii="Arial" w:eastAsia="Calibri" w:hAnsi="Arial" w:cs="Arial"/>
                <w:sz w:val="22"/>
                <w:szCs w:val="22"/>
              </w:rPr>
              <w:t xml:space="preserve">Data collection </w:t>
            </w:r>
            <w:r w:rsidRPr="003D66B9">
              <w:rPr>
                <w:rFonts w:ascii="Arial" w:eastAsia="Calibri" w:hAnsi="Arial" w:cs="Arial"/>
                <w:sz w:val="22"/>
                <w:szCs w:val="22"/>
              </w:rPr>
              <w:t>F</w:t>
            </w:r>
            <w:r>
              <w:rPr>
                <w:rFonts w:ascii="Arial" w:eastAsia="Calibri" w:hAnsi="Arial" w:cs="Arial"/>
                <w:sz w:val="22"/>
                <w:szCs w:val="22"/>
              </w:rPr>
              <w:t>A19; review SP20; report FA20</w:t>
            </w:r>
          </w:p>
        </w:tc>
      </w:tr>
      <w:tr w:rsidR="00DE0E50" w:rsidRPr="003D66B9" w14:paraId="61A1E024" w14:textId="77777777" w:rsidTr="003D66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7621A98E" w14:textId="7575DEF7" w:rsidR="00DE0E50" w:rsidRPr="003D66B9" w:rsidRDefault="00DE0E50" w:rsidP="00DE0E50">
            <w:pPr>
              <w:ind w:left="450"/>
              <w:rPr>
                <w:rFonts w:ascii="Arial" w:hAnsi="Arial" w:cs="Arial"/>
                <w:b w:val="0"/>
                <w:sz w:val="22"/>
                <w:szCs w:val="22"/>
              </w:rPr>
            </w:pPr>
            <w:r w:rsidRPr="003D66B9">
              <w:rPr>
                <w:rFonts w:ascii="Arial" w:hAnsi="Arial" w:cs="Arial"/>
                <w:b w:val="0"/>
                <w:sz w:val="22"/>
                <w:szCs w:val="22"/>
              </w:rPr>
              <w:t>Results</w:t>
            </w:r>
          </w:p>
        </w:tc>
        <w:tc>
          <w:tcPr>
            <w:tcW w:w="5480" w:type="dxa"/>
          </w:tcPr>
          <w:p w14:paraId="5F086F47" w14:textId="08D24E99" w:rsidR="00DE0E50" w:rsidRPr="00982742" w:rsidRDefault="00DE0E50" w:rsidP="00DE0E50">
            <w:p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 w:val="22"/>
                <w:szCs w:val="22"/>
              </w:rPr>
            </w:pPr>
          </w:p>
        </w:tc>
      </w:tr>
      <w:tr w:rsidR="00DE0E50" w:rsidRPr="003D66B9" w14:paraId="618FB8BC" w14:textId="77777777" w:rsidTr="003D6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1A20ADC1" w14:textId="45F790D5" w:rsidR="00DE0E50" w:rsidRPr="003D66B9" w:rsidRDefault="00DE0E50" w:rsidP="00DE0E50">
            <w:pPr>
              <w:ind w:left="450"/>
              <w:rPr>
                <w:rFonts w:ascii="Arial" w:hAnsi="Arial" w:cs="Arial"/>
                <w:b w:val="0"/>
                <w:bCs w:val="0"/>
                <w:sz w:val="22"/>
                <w:szCs w:val="22"/>
              </w:rPr>
            </w:pPr>
            <w:r w:rsidRPr="003D66B9">
              <w:rPr>
                <w:rFonts w:ascii="Arial" w:hAnsi="Arial" w:cs="Arial"/>
                <w:b w:val="0"/>
                <w:sz w:val="22"/>
                <w:szCs w:val="22"/>
              </w:rPr>
              <w:t>Analysis</w:t>
            </w:r>
          </w:p>
        </w:tc>
        <w:tc>
          <w:tcPr>
            <w:tcW w:w="5480" w:type="dxa"/>
          </w:tcPr>
          <w:p w14:paraId="72B6956F" w14:textId="4AC72657" w:rsidR="00DE0E50" w:rsidRPr="003D66B9" w:rsidRDefault="00DE0E50" w:rsidP="00DE0E50">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p>
        </w:tc>
      </w:tr>
      <w:tr w:rsidR="00DE0E50" w:rsidRPr="003D66B9" w14:paraId="1E5BD1EE" w14:textId="77777777" w:rsidTr="003D66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61AEF669" w14:textId="457C12D2" w:rsidR="00DE0E50" w:rsidRPr="003D66B9" w:rsidRDefault="00DE0E50" w:rsidP="00DE0E50">
            <w:pPr>
              <w:ind w:left="450"/>
              <w:rPr>
                <w:rFonts w:ascii="Arial" w:hAnsi="Arial" w:cs="Arial"/>
                <w:b w:val="0"/>
                <w:sz w:val="22"/>
                <w:szCs w:val="22"/>
              </w:rPr>
            </w:pPr>
            <w:r w:rsidRPr="003D66B9">
              <w:rPr>
                <w:rFonts w:ascii="Arial" w:hAnsi="Arial" w:cs="Arial"/>
                <w:b w:val="0"/>
                <w:sz w:val="22"/>
                <w:szCs w:val="22"/>
              </w:rPr>
              <w:t>Work Plan Element</w:t>
            </w:r>
          </w:p>
        </w:tc>
        <w:tc>
          <w:tcPr>
            <w:tcW w:w="5480" w:type="dxa"/>
          </w:tcPr>
          <w:p w14:paraId="10300C7D" w14:textId="77777777" w:rsidR="00DE0E50" w:rsidRPr="003D66B9" w:rsidRDefault="00DE0E50" w:rsidP="00DE0E50">
            <w:pP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tc>
      </w:tr>
      <w:tr w:rsidR="00DE0E50" w:rsidRPr="003D66B9" w14:paraId="3797FD18" w14:textId="77777777" w:rsidTr="003D6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43916BFB" w14:textId="43EADB27" w:rsidR="00DE0E50" w:rsidRPr="003D66B9" w:rsidRDefault="00DE0E50" w:rsidP="00DE0E50">
            <w:pPr>
              <w:ind w:left="450"/>
              <w:rPr>
                <w:rFonts w:ascii="Arial" w:hAnsi="Arial" w:cs="Arial"/>
                <w:b w:val="0"/>
                <w:sz w:val="22"/>
                <w:szCs w:val="22"/>
              </w:rPr>
            </w:pPr>
            <w:r w:rsidRPr="003D66B9">
              <w:rPr>
                <w:rFonts w:ascii="Arial" w:hAnsi="Arial" w:cs="Arial"/>
                <w:b w:val="0"/>
                <w:bCs w:val="0"/>
                <w:sz w:val="22"/>
                <w:szCs w:val="22"/>
              </w:rPr>
              <w:t>Courses to be Assessed</w:t>
            </w:r>
          </w:p>
        </w:tc>
        <w:tc>
          <w:tcPr>
            <w:tcW w:w="5480" w:type="dxa"/>
          </w:tcPr>
          <w:p w14:paraId="3CE851D4" w14:textId="23E65158" w:rsidR="00DE0E50" w:rsidRPr="003D66B9" w:rsidRDefault="00DE0E50" w:rsidP="00DE0E5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D66B9">
              <w:rPr>
                <w:rFonts w:ascii="Arial" w:hAnsi="Arial" w:cs="Arial"/>
                <w:sz w:val="22"/>
                <w:szCs w:val="22"/>
              </w:rPr>
              <w:t>MATH-123</w:t>
            </w:r>
            <w:r w:rsidRPr="003D66B9">
              <w:rPr>
                <w:rFonts w:ascii="Arial" w:hAnsi="Arial" w:cs="Arial"/>
                <w:b/>
                <w:bCs/>
                <w:sz w:val="22"/>
                <w:szCs w:val="22"/>
              </w:rPr>
              <w:t xml:space="preserve">, </w:t>
            </w:r>
            <w:r w:rsidRPr="003D66B9">
              <w:rPr>
                <w:rFonts w:ascii="Arial" w:hAnsi="Arial" w:cs="Arial"/>
                <w:sz w:val="22"/>
                <w:szCs w:val="22"/>
              </w:rPr>
              <w:t>MATH-143</w:t>
            </w:r>
            <w:r w:rsidRPr="003D66B9">
              <w:rPr>
                <w:rFonts w:ascii="Arial" w:hAnsi="Arial" w:cs="Arial"/>
                <w:b/>
                <w:bCs/>
                <w:sz w:val="22"/>
                <w:szCs w:val="22"/>
              </w:rPr>
              <w:t xml:space="preserve">, </w:t>
            </w:r>
            <w:r w:rsidRPr="003D66B9">
              <w:rPr>
                <w:rFonts w:ascii="Arial" w:hAnsi="Arial" w:cs="Arial"/>
                <w:sz w:val="22"/>
                <w:szCs w:val="22"/>
              </w:rPr>
              <w:t>MATH-147</w:t>
            </w:r>
            <w:r w:rsidRPr="003D66B9">
              <w:rPr>
                <w:rFonts w:ascii="Arial" w:hAnsi="Arial" w:cs="Arial"/>
                <w:b/>
                <w:bCs/>
                <w:sz w:val="22"/>
                <w:szCs w:val="22"/>
              </w:rPr>
              <w:t xml:space="preserve">, </w:t>
            </w:r>
            <w:r w:rsidRPr="003D66B9">
              <w:rPr>
                <w:rFonts w:ascii="Arial" w:hAnsi="Arial" w:cs="Arial"/>
                <w:sz w:val="22"/>
                <w:szCs w:val="22"/>
              </w:rPr>
              <w:t>MATH-153</w:t>
            </w:r>
            <w:r w:rsidRPr="003D66B9">
              <w:rPr>
                <w:rFonts w:ascii="Arial" w:hAnsi="Arial" w:cs="Arial"/>
                <w:b/>
                <w:bCs/>
                <w:sz w:val="22"/>
                <w:szCs w:val="22"/>
              </w:rPr>
              <w:t xml:space="preserve">, </w:t>
            </w:r>
            <w:r w:rsidRPr="003D66B9">
              <w:rPr>
                <w:rFonts w:ascii="Arial" w:hAnsi="Arial" w:cs="Arial"/>
                <w:sz w:val="22"/>
                <w:szCs w:val="22"/>
              </w:rPr>
              <w:t>MATH-170</w:t>
            </w:r>
            <w:r w:rsidRPr="003D66B9">
              <w:rPr>
                <w:rFonts w:ascii="Arial" w:hAnsi="Arial" w:cs="Arial"/>
                <w:b/>
                <w:bCs/>
                <w:sz w:val="22"/>
                <w:szCs w:val="22"/>
              </w:rPr>
              <w:t xml:space="preserve">, </w:t>
            </w:r>
            <w:r w:rsidRPr="003D66B9">
              <w:rPr>
                <w:rFonts w:ascii="Arial" w:hAnsi="Arial" w:cs="Arial"/>
                <w:sz w:val="22"/>
                <w:szCs w:val="22"/>
              </w:rPr>
              <w:t>MATH-253</w:t>
            </w:r>
            <w:r w:rsidRPr="003D66B9">
              <w:rPr>
                <w:rFonts w:ascii="Arial" w:hAnsi="Arial" w:cs="Arial"/>
                <w:b/>
                <w:bCs/>
                <w:sz w:val="22"/>
                <w:szCs w:val="22"/>
              </w:rPr>
              <w:t xml:space="preserve">, </w:t>
            </w:r>
            <w:r w:rsidRPr="003D66B9">
              <w:rPr>
                <w:rFonts w:ascii="Arial" w:hAnsi="Arial" w:cs="Arial"/>
                <w:sz w:val="22"/>
                <w:szCs w:val="22"/>
              </w:rPr>
              <w:t>MATH-257</w:t>
            </w:r>
            <w:r w:rsidRPr="003D66B9">
              <w:rPr>
                <w:rFonts w:ascii="Arial" w:hAnsi="Arial" w:cs="Arial"/>
                <w:b/>
                <w:bCs/>
                <w:sz w:val="22"/>
                <w:szCs w:val="22"/>
              </w:rPr>
              <w:t xml:space="preserve">, </w:t>
            </w:r>
            <w:r w:rsidRPr="003D66B9">
              <w:rPr>
                <w:rFonts w:ascii="Arial" w:hAnsi="Arial" w:cs="Arial"/>
                <w:sz w:val="22"/>
                <w:szCs w:val="22"/>
              </w:rPr>
              <w:t>MTHPT-130</w:t>
            </w:r>
            <w:r w:rsidRPr="003D66B9">
              <w:rPr>
                <w:rFonts w:ascii="Arial" w:hAnsi="Arial" w:cs="Arial"/>
                <w:b/>
                <w:bCs/>
                <w:sz w:val="22"/>
                <w:szCs w:val="22"/>
              </w:rPr>
              <w:t xml:space="preserve">, </w:t>
            </w:r>
            <w:r w:rsidRPr="003D66B9">
              <w:rPr>
                <w:rFonts w:ascii="Arial" w:hAnsi="Arial" w:cs="Arial"/>
                <w:sz w:val="22"/>
                <w:szCs w:val="22"/>
              </w:rPr>
              <w:t>MTHPT-137, MTHPT-153</w:t>
            </w:r>
          </w:p>
        </w:tc>
      </w:tr>
    </w:tbl>
    <w:p w14:paraId="7CBA689D" w14:textId="3F183E4B" w:rsidR="003D66B9" w:rsidRDefault="003D66B9" w:rsidP="00A0234B">
      <w:pPr>
        <w:pStyle w:val="Default"/>
        <w:rPr>
          <w:rFonts w:ascii="Arial" w:hAnsi="Arial" w:cs="Arial"/>
          <w:b/>
          <w:bCs/>
          <w:sz w:val="22"/>
          <w:szCs w:val="22"/>
        </w:rPr>
      </w:pPr>
    </w:p>
    <w:p w14:paraId="201A8DBA" w14:textId="77777777" w:rsidR="003D66B9" w:rsidRDefault="003D66B9">
      <w:pPr>
        <w:rPr>
          <w:rFonts w:ascii="Arial" w:hAnsi="Arial" w:cs="Arial"/>
          <w:b/>
          <w:bCs/>
          <w:color w:val="000000"/>
          <w:sz w:val="22"/>
          <w:szCs w:val="22"/>
        </w:rPr>
      </w:pPr>
      <w:r>
        <w:rPr>
          <w:rFonts w:ascii="Arial" w:hAnsi="Arial" w:cs="Arial"/>
          <w:b/>
          <w:bCs/>
          <w:sz w:val="22"/>
          <w:szCs w:val="22"/>
        </w:rPr>
        <w:br w:type="page"/>
      </w:r>
    </w:p>
    <w:tbl>
      <w:tblPr>
        <w:tblStyle w:val="LightGrid-Accent11"/>
        <w:tblW w:w="0" w:type="auto"/>
        <w:tblLook w:val="04A0" w:firstRow="1" w:lastRow="0" w:firstColumn="1" w:lastColumn="0" w:noHBand="0" w:noVBand="1"/>
      </w:tblPr>
      <w:tblGrid>
        <w:gridCol w:w="3140"/>
        <w:gridCol w:w="5480"/>
      </w:tblGrid>
      <w:tr w:rsidR="008C18F4" w:rsidRPr="003D66B9" w14:paraId="7145B89C" w14:textId="77777777" w:rsidTr="003D66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12730090" w14:textId="77777777" w:rsidR="008C18F4" w:rsidRPr="003D66B9" w:rsidRDefault="008C18F4" w:rsidP="005800CF">
            <w:pPr>
              <w:rPr>
                <w:rFonts w:ascii="Arial" w:hAnsi="Arial" w:cs="Arial"/>
                <w:sz w:val="22"/>
                <w:szCs w:val="22"/>
              </w:rPr>
            </w:pPr>
            <w:r w:rsidRPr="003D66B9">
              <w:rPr>
                <w:rFonts w:ascii="Arial" w:hAnsi="Arial" w:cs="Arial"/>
                <w:sz w:val="22"/>
                <w:szCs w:val="22"/>
              </w:rPr>
              <w:lastRenderedPageBreak/>
              <w:t>Goal/Outcome:</w:t>
            </w:r>
          </w:p>
        </w:tc>
        <w:tc>
          <w:tcPr>
            <w:tcW w:w="5480" w:type="dxa"/>
          </w:tcPr>
          <w:p w14:paraId="60E94D42" w14:textId="02DE5FCF" w:rsidR="008C18F4" w:rsidRPr="003D66B9" w:rsidRDefault="003D66B9" w:rsidP="005800CF">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D66B9">
              <w:rPr>
                <w:rFonts w:ascii="Arial" w:hAnsi="Arial" w:cs="Arial"/>
                <w:sz w:val="22"/>
                <w:szCs w:val="22"/>
              </w:rPr>
              <w:t xml:space="preserve">Students </w:t>
            </w:r>
            <w:r>
              <w:rPr>
                <w:rFonts w:ascii="Arial" w:hAnsi="Arial" w:cs="Arial"/>
                <w:sz w:val="22"/>
                <w:szCs w:val="22"/>
              </w:rPr>
              <w:t xml:space="preserve">Will Meet </w:t>
            </w:r>
            <w:r w:rsidRPr="003D66B9">
              <w:rPr>
                <w:rFonts w:ascii="Arial" w:hAnsi="Arial" w:cs="Arial"/>
                <w:sz w:val="22"/>
                <w:szCs w:val="22"/>
              </w:rPr>
              <w:t>the General Education Learning Outcome</w:t>
            </w:r>
            <w:r>
              <w:rPr>
                <w:rFonts w:ascii="Arial" w:hAnsi="Arial" w:cs="Arial"/>
                <w:sz w:val="22"/>
                <w:szCs w:val="22"/>
              </w:rPr>
              <w:t>s</w:t>
            </w:r>
            <w:r w:rsidRPr="003D66B9">
              <w:rPr>
                <w:rFonts w:ascii="Arial" w:hAnsi="Arial" w:cs="Arial"/>
                <w:sz w:val="22"/>
                <w:szCs w:val="22"/>
              </w:rPr>
              <w:t xml:space="preserve"> for Mathematical Ways of Knowing</w:t>
            </w:r>
          </w:p>
        </w:tc>
      </w:tr>
      <w:tr w:rsidR="008C18F4" w:rsidRPr="003D66B9" w14:paraId="4CCD5A4A" w14:textId="77777777" w:rsidTr="003D6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1AC83E7F" w14:textId="269176DA" w:rsidR="008C18F4" w:rsidRPr="003D66B9" w:rsidRDefault="008C18F4" w:rsidP="005800CF">
            <w:pPr>
              <w:rPr>
                <w:rFonts w:ascii="Arial" w:hAnsi="Arial" w:cs="Arial"/>
                <w:b w:val="0"/>
                <w:sz w:val="22"/>
                <w:szCs w:val="22"/>
              </w:rPr>
            </w:pPr>
            <w:r w:rsidRPr="003D66B9">
              <w:rPr>
                <w:rFonts w:ascii="Arial" w:hAnsi="Arial" w:cs="Arial"/>
                <w:b w:val="0"/>
                <w:sz w:val="22"/>
                <w:szCs w:val="22"/>
              </w:rPr>
              <w:t>GELO 3</w:t>
            </w:r>
          </w:p>
        </w:tc>
        <w:tc>
          <w:tcPr>
            <w:tcW w:w="5480" w:type="dxa"/>
          </w:tcPr>
          <w:p w14:paraId="0F125180" w14:textId="0A71562B" w:rsidR="008C18F4" w:rsidRPr="003D66B9" w:rsidRDefault="00B740C4" w:rsidP="005800C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Select, execute and explain</w:t>
            </w:r>
            <w:r w:rsidR="008C18F4" w:rsidRPr="003D66B9">
              <w:rPr>
                <w:rFonts w:ascii="Arial" w:hAnsi="Arial" w:cs="Arial"/>
                <w:sz w:val="22"/>
                <w:szCs w:val="22"/>
              </w:rPr>
              <w:t xml:space="preserve"> appropriate strategies/procedures when solving mathematical problems.</w:t>
            </w:r>
          </w:p>
        </w:tc>
      </w:tr>
      <w:tr w:rsidR="00982742" w:rsidRPr="003D66B9" w14:paraId="7DF46519" w14:textId="77777777" w:rsidTr="003D66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7D0DAAF6" w14:textId="7E622C85" w:rsidR="00982742" w:rsidRPr="003D66B9" w:rsidRDefault="00982742" w:rsidP="00982742">
            <w:pPr>
              <w:ind w:left="450"/>
              <w:rPr>
                <w:rFonts w:ascii="Arial" w:hAnsi="Arial" w:cs="Arial"/>
                <w:b w:val="0"/>
                <w:bCs w:val="0"/>
                <w:sz w:val="22"/>
                <w:szCs w:val="22"/>
              </w:rPr>
            </w:pPr>
            <w:r w:rsidRPr="003D66B9">
              <w:rPr>
                <w:rFonts w:ascii="Arial" w:hAnsi="Arial" w:cs="Arial"/>
                <w:b w:val="0"/>
                <w:sz w:val="22"/>
                <w:szCs w:val="22"/>
              </w:rPr>
              <w:t>Assessment Method</w:t>
            </w:r>
          </w:p>
        </w:tc>
        <w:tc>
          <w:tcPr>
            <w:tcW w:w="5480" w:type="dxa"/>
          </w:tcPr>
          <w:p w14:paraId="106496A8" w14:textId="1752EEDE" w:rsidR="00982742" w:rsidRPr="003D66B9" w:rsidRDefault="00982742" w:rsidP="00982742">
            <w:p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 w:val="22"/>
                <w:szCs w:val="22"/>
              </w:rPr>
            </w:pPr>
            <w:r w:rsidRPr="003D66B9">
              <w:rPr>
                <w:rFonts w:ascii="Arial" w:hAnsi="Arial" w:cs="Arial"/>
                <w:sz w:val="22"/>
                <w:szCs w:val="22"/>
              </w:rPr>
              <w:t xml:space="preserve">The team will develop a common assessment for each course that represents the ability of students to not only do the mathematical manipulations but also to meet the General Education Learning Outcomes. The assessment topic will be relevant to the course being assessed. All sections of a given course will use the same assessment. The </w:t>
            </w:r>
            <w:r>
              <w:rPr>
                <w:rFonts w:ascii="Arial" w:hAnsi="Arial" w:cs="Arial"/>
                <w:sz w:val="22"/>
                <w:szCs w:val="22"/>
              </w:rPr>
              <w:t xml:space="preserve">Mathematical Ways of Knowing </w:t>
            </w:r>
            <w:r w:rsidRPr="003D66B9">
              <w:rPr>
                <w:rFonts w:ascii="Arial" w:hAnsi="Arial" w:cs="Arial"/>
                <w:sz w:val="22"/>
                <w:szCs w:val="22"/>
              </w:rPr>
              <w:t>Assessment Committee for each course will review the results for 100% of the students’ assessments.</w:t>
            </w:r>
          </w:p>
        </w:tc>
      </w:tr>
      <w:tr w:rsidR="00982742" w:rsidRPr="003D66B9" w14:paraId="552FF5B9" w14:textId="77777777" w:rsidTr="003D6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23D76785" w14:textId="63A27A8F" w:rsidR="00982742" w:rsidRPr="003D66B9" w:rsidRDefault="00982742" w:rsidP="00982742">
            <w:pPr>
              <w:ind w:left="450"/>
              <w:rPr>
                <w:rFonts w:ascii="Arial" w:hAnsi="Arial" w:cs="Arial"/>
                <w:b w:val="0"/>
                <w:sz w:val="22"/>
                <w:szCs w:val="22"/>
              </w:rPr>
            </w:pPr>
            <w:r w:rsidRPr="003D66B9">
              <w:rPr>
                <w:rFonts w:ascii="Arial" w:hAnsi="Arial" w:cs="Arial"/>
                <w:b w:val="0"/>
                <w:sz w:val="22"/>
                <w:szCs w:val="22"/>
              </w:rPr>
              <w:t>Benchmark</w:t>
            </w:r>
          </w:p>
        </w:tc>
        <w:tc>
          <w:tcPr>
            <w:tcW w:w="5480" w:type="dxa"/>
          </w:tcPr>
          <w:p w14:paraId="19AB217A" w14:textId="6B44BDD4" w:rsidR="00982742" w:rsidRPr="003D66B9" w:rsidRDefault="00982742" w:rsidP="00982742">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sidRPr="003D66B9">
              <w:rPr>
                <w:rFonts w:ascii="Arial" w:hAnsi="Arial" w:cs="Arial"/>
                <w:sz w:val="22"/>
                <w:szCs w:val="22"/>
              </w:rPr>
              <w:t>75% of students meeting end-of-course expectations.</w:t>
            </w:r>
          </w:p>
        </w:tc>
      </w:tr>
      <w:tr w:rsidR="00982742" w:rsidRPr="003D66B9" w14:paraId="13679F46" w14:textId="77777777" w:rsidTr="003D66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2BF2A116" w14:textId="47334DD9" w:rsidR="00982742" w:rsidRPr="003D66B9" w:rsidRDefault="00982742" w:rsidP="00982742">
            <w:pPr>
              <w:ind w:left="450"/>
              <w:rPr>
                <w:rFonts w:ascii="Arial" w:hAnsi="Arial" w:cs="Arial"/>
                <w:b w:val="0"/>
                <w:sz w:val="22"/>
                <w:szCs w:val="22"/>
              </w:rPr>
            </w:pPr>
            <w:r w:rsidRPr="003D66B9">
              <w:rPr>
                <w:rFonts w:ascii="Arial" w:hAnsi="Arial" w:cs="Arial"/>
                <w:b w:val="0"/>
                <w:sz w:val="22"/>
                <w:szCs w:val="22"/>
              </w:rPr>
              <w:t>Data Sources</w:t>
            </w:r>
          </w:p>
        </w:tc>
        <w:tc>
          <w:tcPr>
            <w:tcW w:w="5480" w:type="dxa"/>
          </w:tcPr>
          <w:p w14:paraId="163E63F6" w14:textId="77777777" w:rsidR="00982742" w:rsidRPr="003D66B9" w:rsidRDefault="00982742" w:rsidP="00982742">
            <w:p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3D66B9">
              <w:rPr>
                <w:rFonts w:ascii="Arial" w:hAnsi="Arial" w:cs="Arial"/>
                <w:sz w:val="22"/>
                <w:szCs w:val="22"/>
              </w:rPr>
              <w:t xml:space="preserve">Each fall, the students’ assessments will be collected and provided to the course assessment team who will review the artifacts in the spring semester. Assessments for Dual Credit sections will be distributed to teachers in the spring semester instead of the fall semester. </w:t>
            </w:r>
          </w:p>
          <w:p w14:paraId="728D9DF2" w14:textId="77777777" w:rsidR="00982742" w:rsidRPr="003D66B9" w:rsidRDefault="00982742" w:rsidP="00982742">
            <w:p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p w14:paraId="161A8B88" w14:textId="3DF134FD" w:rsidR="00982742" w:rsidRPr="003D66B9" w:rsidRDefault="00982742" w:rsidP="00982742">
            <w:p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B740C4">
              <w:rPr>
                <w:rFonts w:ascii="Arial" w:hAnsi="Arial" w:cs="Arial"/>
                <w:b/>
                <w:sz w:val="22"/>
                <w:szCs w:val="22"/>
              </w:rPr>
              <w:t>Note:</w:t>
            </w:r>
            <w:r>
              <w:rPr>
                <w:rFonts w:ascii="Arial" w:hAnsi="Arial" w:cs="Arial"/>
                <w:b/>
                <w:sz w:val="22"/>
                <w:szCs w:val="22"/>
              </w:rPr>
              <w:t xml:space="preserve"> </w:t>
            </w:r>
            <w:r w:rsidRPr="003D66B9">
              <w:rPr>
                <w:rFonts w:ascii="Arial" w:hAnsi="Arial" w:cs="Arial"/>
                <w:sz w:val="22"/>
                <w:szCs w:val="22"/>
              </w:rPr>
              <w:t>Statistics done by the math faculty have demonstrated that analyzing any proportion of the quizzes, rather than all of them, could result in either over-estimation or under-estimation of the student’s actual abilities.</w:t>
            </w:r>
          </w:p>
        </w:tc>
      </w:tr>
      <w:tr w:rsidR="00982742" w:rsidRPr="003D66B9" w14:paraId="472D8F03" w14:textId="77777777" w:rsidTr="003D6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0956031F" w14:textId="698AB349" w:rsidR="00982742" w:rsidRPr="003D66B9" w:rsidRDefault="00982742" w:rsidP="00982742">
            <w:pPr>
              <w:ind w:left="450"/>
              <w:rPr>
                <w:rFonts w:ascii="Arial" w:hAnsi="Arial" w:cs="Arial"/>
                <w:b w:val="0"/>
                <w:sz w:val="22"/>
                <w:szCs w:val="22"/>
              </w:rPr>
            </w:pPr>
            <w:r w:rsidRPr="003D66B9">
              <w:rPr>
                <w:rFonts w:ascii="Arial" w:hAnsi="Arial" w:cs="Arial"/>
                <w:b w:val="0"/>
                <w:sz w:val="22"/>
                <w:szCs w:val="22"/>
              </w:rPr>
              <w:t>Relevant Dates</w:t>
            </w:r>
          </w:p>
        </w:tc>
        <w:tc>
          <w:tcPr>
            <w:tcW w:w="5480" w:type="dxa"/>
          </w:tcPr>
          <w:p w14:paraId="090CEE82" w14:textId="4BB809C5" w:rsidR="00982742" w:rsidRPr="00982742" w:rsidRDefault="00982742" w:rsidP="0098274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2742">
              <w:rPr>
                <w:rFonts w:ascii="Arial" w:hAnsi="Arial" w:cs="Arial"/>
                <w:sz w:val="22"/>
                <w:szCs w:val="22"/>
              </w:rPr>
              <w:t>Data collection FA2</w:t>
            </w:r>
            <w:r w:rsidR="00DE0E50">
              <w:rPr>
                <w:rFonts w:ascii="Arial" w:hAnsi="Arial" w:cs="Arial"/>
                <w:sz w:val="22"/>
                <w:szCs w:val="22"/>
              </w:rPr>
              <w:t>6</w:t>
            </w:r>
            <w:r w:rsidRPr="00982742">
              <w:rPr>
                <w:rFonts w:ascii="Arial" w:hAnsi="Arial" w:cs="Arial"/>
                <w:sz w:val="22"/>
                <w:szCs w:val="22"/>
              </w:rPr>
              <w:t>; review SP2</w:t>
            </w:r>
            <w:r w:rsidR="00DE0E50">
              <w:rPr>
                <w:rFonts w:ascii="Arial" w:hAnsi="Arial" w:cs="Arial"/>
                <w:sz w:val="22"/>
                <w:szCs w:val="22"/>
              </w:rPr>
              <w:t>7</w:t>
            </w:r>
            <w:r w:rsidRPr="00982742">
              <w:rPr>
                <w:rFonts w:ascii="Arial" w:hAnsi="Arial" w:cs="Arial"/>
                <w:sz w:val="22"/>
                <w:szCs w:val="22"/>
              </w:rPr>
              <w:t>; report FA2</w:t>
            </w:r>
            <w:r w:rsidR="00DE0E50">
              <w:rPr>
                <w:rFonts w:ascii="Arial" w:hAnsi="Arial" w:cs="Arial"/>
                <w:sz w:val="22"/>
                <w:szCs w:val="22"/>
              </w:rPr>
              <w:t>7</w:t>
            </w:r>
            <w:r w:rsidRPr="00982742">
              <w:rPr>
                <w:rFonts w:ascii="Arial" w:hAnsi="Arial" w:cs="Arial"/>
                <w:sz w:val="22"/>
                <w:szCs w:val="22"/>
              </w:rPr>
              <w:t>; report to faculty SP2</w:t>
            </w:r>
            <w:r w:rsidR="00DE0E50">
              <w:rPr>
                <w:rFonts w:ascii="Arial" w:hAnsi="Arial" w:cs="Arial"/>
                <w:sz w:val="22"/>
                <w:szCs w:val="22"/>
              </w:rPr>
              <w:t>8</w:t>
            </w:r>
          </w:p>
          <w:p w14:paraId="5026B5C9" w14:textId="77777777" w:rsidR="00982742" w:rsidRPr="00982742" w:rsidRDefault="00982742" w:rsidP="0098274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818C193" w14:textId="77777777" w:rsidR="00982742" w:rsidRPr="00982742" w:rsidRDefault="00982742" w:rsidP="00982742">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2"/>
                <w:szCs w:val="22"/>
              </w:rPr>
            </w:pPr>
            <w:r w:rsidRPr="00982742">
              <w:rPr>
                <w:rFonts w:ascii="Arial" w:eastAsia="Calibri" w:hAnsi="Arial" w:cs="Arial"/>
                <w:b/>
                <w:sz w:val="22"/>
                <w:szCs w:val="22"/>
              </w:rPr>
              <w:t>MATH-157/257 and MATH-130 and 130PT:</w:t>
            </w:r>
          </w:p>
          <w:p w14:paraId="2AA8EF20" w14:textId="77777777" w:rsidR="00DE0E50" w:rsidRDefault="00DE0E50" w:rsidP="00DE0E50">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Pr>
                <w:rFonts w:ascii="Arial" w:eastAsia="Calibri" w:hAnsi="Arial" w:cs="Arial"/>
                <w:sz w:val="22"/>
                <w:szCs w:val="22"/>
              </w:rPr>
              <w:t>Data collection FA21; review SP22; report FA22</w:t>
            </w:r>
          </w:p>
          <w:p w14:paraId="2DEA5CD1" w14:textId="77777777" w:rsidR="00DE0E50" w:rsidRDefault="00DE0E50" w:rsidP="00DE0E50">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2"/>
                <w:szCs w:val="22"/>
              </w:rPr>
            </w:pPr>
          </w:p>
          <w:p w14:paraId="53E7E1A7" w14:textId="77777777" w:rsidR="00982742" w:rsidRPr="00982742" w:rsidRDefault="00982742" w:rsidP="00982742">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2"/>
                <w:szCs w:val="22"/>
              </w:rPr>
            </w:pPr>
            <w:r w:rsidRPr="00982742">
              <w:rPr>
                <w:rFonts w:ascii="Arial" w:eastAsia="Calibri" w:hAnsi="Arial" w:cs="Arial"/>
                <w:b/>
                <w:sz w:val="22"/>
                <w:szCs w:val="22"/>
              </w:rPr>
              <w:t>MATH-147, MATH-147B and MATH-170:</w:t>
            </w:r>
          </w:p>
          <w:p w14:paraId="2DF18B66" w14:textId="77777777" w:rsidR="00DE0E50" w:rsidRDefault="00DE0E50" w:rsidP="00DE0E50">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Pr>
                <w:rFonts w:ascii="Arial" w:eastAsia="Calibri" w:hAnsi="Arial" w:cs="Arial"/>
                <w:sz w:val="22"/>
                <w:szCs w:val="22"/>
              </w:rPr>
              <w:t>Data collection FA20; review SP21; report FA21</w:t>
            </w:r>
          </w:p>
          <w:p w14:paraId="08B6D13F" w14:textId="77777777" w:rsidR="00982742" w:rsidRPr="00982742" w:rsidRDefault="00982742" w:rsidP="00982742">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2"/>
                <w:szCs w:val="22"/>
              </w:rPr>
            </w:pPr>
          </w:p>
          <w:p w14:paraId="68861602" w14:textId="77777777" w:rsidR="00982742" w:rsidRPr="00982742" w:rsidRDefault="00982742" w:rsidP="00982742">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2"/>
                <w:szCs w:val="22"/>
              </w:rPr>
            </w:pPr>
            <w:r w:rsidRPr="00982742">
              <w:rPr>
                <w:rFonts w:ascii="Arial" w:eastAsia="Calibri" w:hAnsi="Arial" w:cs="Arial"/>
                <w:b/>
                <w:sz w:val="22"/>
                <w:szCs w:val="22"/>
              </w:rPr>
              <w:t>MATH-123 and MATH-253:</w:t>
            </w:r>
          </w:p>
          <w:p w14:paraId="3123D84B" w14:textId="2BCB8DEE" w:rsidR="00982742" w:rsidRPr="003D66B9" w:rsidRDefault="00BE65A3" w:rsidP="00982742">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Pr>
                <w:rFonts w:ascii="Arial" w:eastAsia="Calibri" w:hAnsi="Arial" w:cs="Arial"/>
                <w:sz w:val="22"/>
                <w:szCs w:val="22"/>
              </w:rPr>
              <w:t xml:space="preserve">Data collection </w:t>
            </w:r>
            <w:r w:rsidRPr="003D66B9">
              <w:rPr>
                <w:rFonts w:ascii="Arial" w:eastAsia="Calibri" w:hAnsi="Arial" w:cs="Arial"/>
                <w:sz w:val="22"/>
                <w:szCs w:val="22"/>
              </w:rPr>
              <w:t>F</w:t>
            </w:r>
            <w:r>
              <w:rPr>
                <w:rFonts w:ascii="Arial" w:eastAsia="Calibri" w:hAnsi="Arial" w:cs="Arial"/>
                <w:sz w:val="22"/>
                <w:szCs w:val="22"/>
              </w:rPr>
              <w:t>A19; review SP20; report FA20</w:t>
            </w:r>
          </w:p>
        </w:tc>
      </w:tr>
      <w:tr w:rsidR="00982742" w:rsidRPr="003D66B9" w14:paraId="06E1213E" w14:textId="77777777" w:rsidTr="003D66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39D430CB" w14:textId="5FCC9966" w:rsidR="00982742" w:rsidRPr="003D66B9" w:rsidRDefault="00982742" w:rsidP="00982742">
            <w:pPr>
              <w:ind w:left="450"/>
              <w:rPr>
                <w:rFonts w:ascii="Arial" w:hAnsi="Arial" w:cs="Arial"/>
                <w:b w:val="0"/>
                <w:sz w:val="22"/>
                <w:szCs w:val="22"/>
              </w:rPr>
            </w:pPr>
            <w:r w:rsidRPr="003D66B9">
              <w:rPr>
                <w:rFonts w:ascii="Arial" w:hAnsi="Arial" w:cs="Arial"/>
                <w:b w:val="0"/>
                <w:sz w:val="22"/>
                <w:szCs w:val="22"/>
              </w:rPr>
              <w:t>Results</w:t>
            </w:r>
          </w:p>
        </w:tc>
        <w:tc>
          <w:tcPr>
            <w:tcW w:w="5480" w:type="dxa"/>
          </w:tcPr>
          <w:p w14:paraId="462B5177" w14:textId="1E73FB17" w:rsidR="00982742" w:rsidRPr="003D66B9" w:rsidRDefault="00982742" w:rsidP="00982742">
            <w:pP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tc>
      </w:tr>
      <w:tr w:rsidR="00982742" w:rsidRPr="003D66B9" w14:paraId="34E875F2" w14:textId="77777777" w:rsidTr="003D6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05C5074B" w14:textId="4725C262" w:rsidR="00982742" w:rsidRPr="003D66B9" w:rsidRDefault="00982742" w:rsidP="00982742">
            <w:pPr>
              <w:ind w:left="450"/>
              <w:rPr>
                <w:rFonts w:ascii="Arial" w:hAnsi="Arial" w:cs="Arial"/>
                <w:b w:val="0"/>
                <w:bCs w:val="0"/>
                <w:sz w:val="22"/>
                <w:szCs w:val="22"/>
              </w:rPr>
            </w:pPr>
            <w:r w:rsidRPr="003D66B9">
              <w:rPr>
                <w:rFonts w:ascii="Arial" w:hAnsi="Arial" w:cs="Arial"/>
                <w:b w:val="0"/>
                <w:sz w:val="22"/>
                <w:szCs w:val="22"/>
              </w:rPr>
              <w:t>Analysis</w:t>
            </w:r>
          </w:p>
        </w:tc>
        <w:tc>
          <w:tcPr>
            <w:tcW w:w="5480" w:type="dxa"/>
          </w:tcPr>
          <w:p w14:paraId="72B56B76" w14:textId="6D8DF7E3" w:rsidR="00982742" w:rsidRPr="003D66B9" w:rsidRDefault="00982742" w:rsidP="00982742">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p>
        </w:tc>
      </w:tr>
      <w:tr w:rsidR="00982742" w:rsidRPr="003D66B9" w14:paraId="46D59A8D" w14:textId="77777777" w:rsidTr="003D66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550183EE" w14:textId="0E9F0BC3" w:rsidR="00982742" w:rsidRPr="003D66B9" w:rsidRDefault="00982742" w:rsidP="00982742">
            <w:pPr>
              <w:ind w:left="450"/>
              <w:rPr>
                <w:rFonts w:ascii="Arial" w:hAnsi="Arial" w:cs="Arial"/>
                <w:b w:val="0"/>
                <w:sz w:val="22"/>
                <w:szCs w:val="22"/>
              </w:rPr>
            </w:pPr>
            <w:r w:rsidRPr="003D66B9">
              <w:rPr>
                <w:rFonts w:ascii="Arial" w:hAnsi="Arial" w:cs="Arial"/>
                <w:b w:val="0"/>
                <w:sz w:val="22"/>
                <w:szCs w:val="22"/>
              </w:rPr>
              <w:t>Work Plan Element</w:t>
            </w:r>
          </w:p>
        </w:tc>
        <w:tc>
          <w:tcPr>
            <w:tcW w:w="5480" w:type="dxa"/>
          </w:tcPr>
          <w:p w14:paraId="362F1216" w14:textId="77777777" w:rsidR="00982742" w:rsidRPr="003D66B9" w:rsidRDefault="00982742" w:rsidP="00982742">
            <w:pP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tc>
      </w:tr>
      <w:tr w:rsidR="00982742" w:rsidRPr="003D66B9" w14:paraId="699E192C" w14:textId="77777777" w:rsidTr="003D6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0B96F4C8" w14:textId="0692E95F" w:rsidR="00982742" w:rsidRPr="003D66B9" w:rsidRDefault="00982742" w:rsidP="00982742">
            <w:pPr>
              <w:ind w:left="450"/>
              <w:rPr>
                <w:rFonts w:ascii="Arial" w:hAnsi="Arial" w:cs="Arial"/>
                <w:b w:val="0"/>
                <w:sz w:val="22"/>
                <w:szCs w:val="22"/>
              </w:rPr>
            </w:pPr>
            <w:r w:rsidRPr="003D66B9">
              <w:rPr>
                <w:rFonts w:ascii="Arial" w:hAnsi="Arial" w:cs="Arial"/>
                <w:b w:val="0"/>
                <w:bCs w:val="0"/>
                <w:sz w:val="22"/>
                <w:szCs w:val="22"/>
              </w:rPr>
              <w:t>Courses to be Assessed</w:t>
            </w:r>
          </w:p>
        </w:tc>
        <w:tc>
          <w:tcPr>
            <w:tcW w:w="5480" w:type="dxa"/>
          </w:tcPr>
          <w:p w14:paraId="3939632A" w14:textId="4D0F9776" w:rsidR="00982742" w:rsidRPr="003D66B9" w:rsidRDefault="00982742" w:rsidP="0098274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D66B9">
              <w:rPr>
                <w:rFonts w:ascii="Arial" w:hAnsi="Arial" w:cs="Arial"/>
                <w:sz w:val="22"/>
                <w:szCs w:val="22"/>
              </w:rPr>
              <w:t>MATH-123</w:t>
            </w:r>
            <w:r w:rsidRPr="003D66B9">
              <w:rPr>
                <w:rFonts w:ascii="Arial" w:hAnsi="Arial" w:cs="Arial"/>
                <w:b/>
                <w:bCs/>
                <w:sz w:val="22"/>
                <w:szCs w:val="22"/>
              </w:rPr>
              <w:t xml:space="preserve">, </w:t>
            </w:r>
            <w:r w:rsidRPr="003D66B9">
              <w:rPr>
                <w:rFonts w:ascii="Arial" w:hAnsi="Arial" w:cs="Arial"/>
                <w:sz w:val="22"/>
                <w:szCs w:val="22"/>
              </w:rPr>
              <w:t>MATH-143</w:t>
            </w:r>
            <w:r w:rsidRPr="003D66B9">
              <w:rPr>
                <w:rFonts w:ascii="Arial" w:hAnsi="Arial" w:cs="Arial"/>
                <w:b/>
                <w:bCs/>
                <w:sz w:val="22"/>
                <w:szCs w:val="22"/>
              </w:rPr>
              <w:t xml:space="preserve">, </w:t>
            </w:r>
            <w:r w:rsidRPr="003D66B9">
              <w:rPr>
                <w:rFonts w:ascii="Arial" w:hAnsi="Arial" w:cs="Arial"/>
                <w:sz w:val="22"/>
                <w:szCs w:val="22"/>
              </w:rPr>
              <w:t>MATH-147</w:t>
            </w:r>
            <w:r w:rsidRPr="003D66B9">
              <w:rPr>
                <w:rFonts w:ascii="Arial" w:hAnsi="Arial" w:cs="Arial"/>
                <w:b/>
                <w:bCs/>
                <w:sz w:val="22"/>
                <w:szCs w:val="22"/>
              </w:rPr>
              <w:t xml:space="preserve">, </w:t>
            </w:r>
            <w:r w:rsidRPr="003D66B9">
              <w:rPr>
                <w:rFonts w:ascii="Arial" w:hAnsi="Arial" w:cs="Arial"/>
                <w:sz w:val="22"/>
                <w:szCs w:val="22"/>
              </w:rPr>
              <w:t>MATH-153</w:t>
            </w:r>
            <w:r w:rsidRPr="003D66B9">
              <w:rPr>
                <w:rFonts w:ascii="Arial" w:hAnsi="Arial" w:cs="Arial"/>
                <w:b/>
                <w:bCs/>
                <w:sz w:val="22"/>
                <w:szCs w:val="22"/>
              </w:rPr>
              <w:t xml:space="preserve">, </w:t>
            </w:r>
            <w:r w:rsidRPr="003D66B9">
              <w:rPr>
                <w:rFonts w:ascii="Arial" w:hAnsi="Arial" w:cs="Arial"/>
                <w:sz w:val="22"/>
                <w:szCs w:val="22"/>
              </w:rPr>
              <w:t>MATH-170</w:t>
            </w:r>
            <w:r w:rsidRPr="003D66B9">
              <w:rPr>
                <w:rFonts w:ascii="Arial" w:hAnsi="Arial" w:cs="Arial"/>
                <w:b/>
                <w:bCs/>
                <w:sz w:val="22"/>
                <w:szCs w:val="22"/>
              </w:rPr>
              <w:t xml:space="preserve">, </w:t>
            </w:r>
            <w:r w:rsidRPr="003D66B9">
              <w:rPr>
                <w:rFonts w:ascii="Arial" w:hAnsi="Arial" w:cs="Arial"/>
                <w:sz w:val="22"/>
                <w:szCs w:val="22"/>
              </w:rPr>
              <w:t>MATH-253</w:t>
            </w:r>
            <w:r w:rsidRPr="003D66B9">
              <w:rPr>
                <w:rFonts w:ascii="Arial" w:hAnsi="Arial" w:cs="Arial"/>
                <w:b/>
                <w:bCs/>
                <w:sz w:val="22"/>
                <w:szCs w:val="22"/>
              </w:rPr>
              <w:t xml:space="preserve">, </w:t>
            </w:r>
            <w:r w:rsidRPr="003D66B9">
              <w:rPr>
                <w:rFonts w:ascii="Arial" w:hAnsi="Arial" w:cs="Arial"/>
                <w:sz w:val="22"/>
                <w:szCs w:val="22"/>
              </w:rPr>
              <w:t>MATH-257</w:t>
            </w:r>
            <w:r w:rsidRPr="003D66B9">
              <w:rPr>
                <w:rFonts w:ascii="Arial" w:hAnsi="Arial" w:cs="Arial"/>
                <w:b/>
                <w:bCs/>
                <w:sz w:val="22"/>
                <w:szCs w:val="22"/>
              </w:rPr>
              <w:t xml:space="preserve">, </w:t>
            </w:r>
            <w:r w:rsidRPr="003D66B9">
              <w:rPr>
                <w:rFonts w:ascii="Arial" w:hAnsi="Arial" w:cs="Arial"/>
                <w:sz w:val="22"/>
                <w:szCs w:val="22"/>
              </w:rPr>
              <w:t>MTHPT-130</w:t>
            </w:r>
            <w:r w:rsidRPr="003D66B9">
              <w:rPr>
                <w:rFonts w:ascii="Arial" w:hAnsi="Arial" w:cs="Arial"/>
                <w:b/>
                <w:bCs/>
                <w:sz w:val="22"/>
                <w:szCs w:val="22"/>
              </w:rPr>
              <w:t xml:space="preserve">, </w:t>
            </w:r>
            <w:r w:rsidRPr="003D66B9">
              <w:rPr>
                <w:rFonts w:ascii="Arial" w:hAnsi="Arial" w:cs="Arial"/>
                <w:sz w:val="22"/>
                <w:szCs w:val="22"/>
              </w:rPr>
              <w:t>MTHPT-137, MTHPT-153</w:t>
            </w:r>
          </w:p>
        </w:tc>
      </w:tr>
    </w:tbl>
    <w:p w14:paraId="7A35F103" w14:textId="77777777" w:rsidR="003D66B9" w:rsidRDefault="003D66B9">
      <w:pPr>
        <w:rPr>
          <w:rFonts w:ascii="Arial" w:hAnsi="Arial" w:cs="Arial"/>
          <w:b/>
          <w:bCs/>
          <w:color w:val="000000"/>
          <w:sz w:val="22"/>
          <w:szCs w:val="22"/>
        </w:rPr>
      </w:pPr>
      <w:r>
        <w:rPr>
          <w:rFonts w:ascii="Arial" w:hAnsi="Arial" w:cs="Arial"/>
          <w:b/>
          <w:bCs/>
          <w:sz w:val="22"/>
          <w:szCs w:val="22"/>
        </w:rPr>
        <w:br w:type="page"/>
      </w:r>
    </w:p>
    <w:tbl>
      <w:tblPr>
        <w:tblStyle w:val="LightGrid-Accent11"/>
        <w:tblW w:w="0" w:type="auto"/>
        <w:tblLook w:val="04A0" w:firstRow="1" w:lastRow="0" w:firstColumn="1" w:lastColumn="0" w:noHBand="0" w:noVBand="1"/>
      </w:tblPr>
      <w:tblGrid>
        <w:gridCol w:w="3140"/>
        <w:gridCol w:w="5480"/>
      </w:tblGrid>
      <w:tr w:rsidR="008C18F4" w:rsidRPr="003D66B9" w14:paraId="288A773C" w14:textId="77777777" w:rsidTr="003D66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5E288B64" w14:textId="77777777" w:rsidR="008C18F4" w:rsidRPr="003D66B9" w:rsidRDefault="008C18F4" w:rsidP="005800CF">
            <w:pPr>
              <w:rPr>
                <w:rFonts w:ascii="Arial" w:hAnsi="Arial" w:cs="Arial"/>
                <w:sz w:val="22"/>
                <w:szCs w:val="22"/>
              </w:rPr>
            </w:pPr>
            <w:r w:rsidRPr="003D66B9">
              <w:rPr>
                <w:rFonts w:ascii="Arial" w:hAnsi="Arial" w:cs="Arial"/>
                <w:sz w:val="22"/>
                <w:szCs w:val="22"/>
              </w:rPr>
              <w:lastRenderedPageBreak/>
              <w:t>Goal/Outcome:</w:t>
            </w:r>
          </w:p>
        </w:tc>
        <w:tc>
          <w:tcPr>
            <w:tcW w:w="5480" w:type="dxa"/>
          </w:tcPr>
          <w:p w14:paraId="54785CBC" w14:textId="619FEB2C" w:rsidR="008C18F4" w:rsidRPr="003D66B9" w:rsidRDefault="003D66B9" w:rsidP="005800CF">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D66B9">
              <w:rPr>
                <w:rFonts w:ascii="Arial" w:hAnsi="Arial" w:cs="Arial"/>
                <w:sz w:val="22"/>
                <w:szCs w:val="22"/>
              </w:rPr>
              <w:t xml:space="preserve">Students </w:t>
            </w:r>
            <w:r>
              <w:rPr>
                <w:rFonts w:ascii="Arial" w:hAnsi="Arial" w:cs="Arial"/>
                <w:sz w:val="22"/>
                <w:szCs w:val="22"/>
              </w:rPr>
              <w:t xml:space="preserve">Will Meet </w:t>
            </w:r>
            <w:r w:rsidRPr="003D66B9">
              <w:rPr>
                <w:rFonts w:ascii="Arial" w:hAnsi="Arial" w:cs="Arial"/>
                <w:sz w:val="22"/>
                <w:szCs w:val="22"/>
              </w:rPr>
              <w:t>the General Education Learning Outcome</w:t>
            </w:r>
            <w:r>
              <w:rPr>
                <w:rFonts w:ascii="Arial" w:hAnsi="Arial" w:cs="Arial"/>
                <w:sz w:val="22"/>
                <w:szCs w:val="22"/>
              </w:rPr>
              <w:t>s</w:t>
            </w:r>
            <w:r w:rsidRPr="003D66B9">
              <w:rPr>
                <w:rFonts w:ascii="Arial" w:hAnsi="Arial" w:cs="Arial"/>
                <w:sz w:val="22"/>
                <w:szCs w:val="22"/>
              </w:rPr>
              <w:t xml:space="preserve"> for Mathematical Ways of Knowing</w:t>
            </w:r>
          </w:p>
        </w:tc>
      </w:tr>
      <w:tr w:rsidR="008C18F4" w:rsidRPr="003D66B9" w14:paraId="612B1C12" w14:textId="77777777" w:rsidTr="003D6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630CF197" w14:textId="400A3284" w:rsidR="008C18F4" w:rsidRPr="003D66B9" w:rsidRDefault="008C18F4" w:rsidP="005800CF">
            <w:pPr>
              <w:rPr>
                <w:rFonts w:ascii="Arial" w:hAnsi="Arial" w:cs="Arial"/>
                <w:b w:val="0"/>
                <w:sz w:val="22"/>
                <w:szCs w:val="22"/>
              </w:rPr>
            </w:pPr>
            <w:r w:rsidRPr="003D66B9">
              <w:rPr>
                <w:rFonts w:ascii="Arial" w:hAnsi="Arial" w:cs="Arial"/>
                <w:b w:val="0"/>
                <w:sz w:val="22"/>
                <w:szCs w:val="22"/>
              </w:rPr>
              <w:t>GELO 4</w:t>
            </w:r>
          </w:p>
        </w:tc>
        <w:tc>
          <w:tcPr>
            <w:tcW w:w="5480" w:type="dxa"/>
          </w:tcPr>
          <w:p w14:paraId="029D21EC" w14:textId="4243443E" w:rsidR="008C18F4" w:rsidRPr="003D66B9" w:rsidRDefault="00B740C4" w:rsidP="005800C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Apply quantitative reasoning to draw appropriate conclusions and support them.</w:t>
            </w:r>
          </w:p>
        </w:tc>
      </w:tr>
      <w:tr w:rsidR="0027296C" w:rsidRPr="003D66B9" w14:paraId="03392078" w14:textId="77777777" w:rsidTr="003D66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4DE0C75E" w14:textId="4BCFFFCD" w:rsidR="0027296C" w:rsidRPr="003D66B9" w:rsidRDefault="0027296C" w:rsidP="0027296C">
            <w:pPr>
              <w:ind w:left="450"/>
              <w:rPr>
                <w:rFonts w:ascii="Arial" w:hAnsi="Arial" w:cs="Arial"/>
                <w:b w:val="0"/>
                <w:bCs w:val="0"/>
                <w:sz w:val="22"/>
                <w:szCs w:val="22"/>
              </w:rPr>
            </w:pPr>
            <w:r w:rsidRPr="003D66B9">
              <w:rPr>
                <w:rFonts w:ascii="Arial" w:hAnsi="Arial" w:cs="Arial"/>
                <w:b w:val="0"/>
                <w:sz w:val="22"/>
                <w:szCs w:val="22"/>
              </w:rPr>
              <w:t>Assessment Method</w:t>
            </w:r>
          </w:p>
        </w:tc>
        <w:tc>
          <w:tcPr>
            <w:tcW w:w="5480" w:type="dxa"/>
          </w:tcPr>
          <w:p w14:paraId="434D300C" w14:textId="059549B2" w:rsidR="0027296C" w:rsidRPr="003D66B9" w:rsidRDefault="0027296C" w:rsidP="0027296C">
            <w:p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 w:val="22"/>
                <w:szCs w:val="22"/>
              </w:rPr>
            </w:pPr>
            <w:r w:rsidRPr="003D66B9">
              <w:rPr>
                <w:rFonts w:ascii="Arial" w:hAnsi="Arial" w:cs="Arial"/>
                <w:sz w:val="22"/>
                <w:szCs w:val="22"/>
              </w:rPr>
              <w:t xml:space="preserve">The team will develop a common assessment for each course that represents the ability of students to not only do the mathematical manipulations but also to meet the General Education Learning Outcomes. The assessment topic will be relevant to the course being assessed. All sections of a given course will use the same assessment. The </w:t>
            </w:r>
            <w:r>
              <w:rPr>
                <w:rFonts w:ascii="Arial" w:hAnsi="Arial" w:cs="Arial"/>
                <w:sz w:val="22"/>
                <w:szCs w:val="22"/>
              </w:rPr>
              <w:t xml:space="preserve">Mathematical Ways of Knowing </w:t>
            </w:r>
            <w:r w:rsidRPr="003D66B9">
              <w:rPr>
                <w:rFonts w:ascii="Arial" w:hAnsi="Arial" w:cs="Arial"/>
                <w:sz w:val="22"/>
                <w:szCs w:val="22"/>
              </w:rPr>
              <w:t>Assessment Committee for each course will review the results for 100% of the students’ assessments.</w:t>
            </w:r>
          </w:p>
        </w:tc>
      </w:tr>
      <w:tr w:rsidR="0027296C" w:rsidRPr="003D66B9" w14:paraId="73828560" w14:textId="77777777" w:rsidTr="003D6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419F427B" w14:textId="4B38EC8F" w:rsidR="0027296C" w:rsidRPr="003D66B9" w:rsidRDefault="0027296C" w:rsidP="0027296C">
            <w:pPr>
              <w:ind w:left="450"/>
              <w:rPr>
                <w:rFonts w:ascii="Arial" w:hAnsi="Arial" w:cs="Arial"/>
                <w:b w:val="0"/>
                <w:sz w:val="22"/>
                <w:szCs w:val="22"/>
              </w:rPr>
            </w:pPr>
            <w:r w:rsidRPr="003D66B9">
              <w:rPr>
                <w:rFonts w:ascii="Arial" w:hAnsi="Arial" w:cs="Arial"/>
                <w:b w:val="0"/>
                <w:sz w:val="22"/>
                <w:szCs w:val="22"/>
              </w:rPr>
              <w:t>Benchmark</w:t>
            </w:r>
          </w:p>
        </w:tc>
        <w:tc>
          <w:tcPr>
            <w:tcW w:w="5480" w:type="dxa"/>
          </w:tcPr>
          <w:p w14:paraId="15C64CF1" w14:textId="61D7FAF2" w:rsidR="0027296C" w:rsidRPr="003D66B9" w:rsidRDefault="0027296C" w:rsidP="0027296C">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sidRPr="003D66B9">
              <w:rPr>
                <w:rFonts w:ascii="Arial" w:hAnsi="Arial" w:cs="Arial"/>
                <w:sz w:val="22"/>
                <w:szCs w:val="22"/>
              </w:rPr>
              <w:t>75% of students meeting end-of-course expectations</w:t>
            </w:r>
          </w:p>
        </w:tc>
      </w:tr>
      <w:tr w:rsidR="0027296C" w:rsidRPr="003D66B9" w14:paraId="5D908694" w14:textId="77777777" w:rsidTr="003D66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7143AD2E" w14:textId="35C2FD51" w:rsidR="0027296C" w:rsidRPr="003D66B9" w:rsidRDefault="0027296C" w:rsidP="0027296C">
            <w:pPr>
              <w:ind w:left="450"/>
              <w:rPr>
                <w:rFonts w:ascii="Arial" w:hAnsi="Arial" w:cs="Arial"/>
                <w:b w:val="0"/>
                <w:sz w:val="22"/>
                <w:szCs w:val="22"/>
              </w:rPr>
            </w:pPr>
            <w:r w:rsidRPr="003D66B9">
              <w:rPr>
                <w:rFonts w:ascii="Arial" w:hAnsi="Arial" w:cs="Arial"/>
                <w:b w:val="0"/>
                <w:sz w:val="22"/>
                <w:szCs w:val="22"/>
              </w:rPr>
              <w:t>Data Sources</w:t>
            </w:r>
          </w:p>
        </w:tc>
        <w:tc>
          <w:tcPr>
            <w:tcW w:w="5480" w:type="dxa"/>
          </w:tcPr>
          <w:p w14:paraId="147CD961" w14:textId="77777777" w:rsidR="0027296C" w:rsidRPr="003D66B9" w:rsidRDefault="0027296C" w:rsidP="0027296C">
            <w:p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3D66B9">
              <w:rPr>
                <w:rFonts w:ascii="Arial" w:hAnsi="Arial" w:cs="Arial"/>
                <w:sz w:val="22"/>
                <w:szCs w:val="22"/>
              </w:rPr>
              <w:t xml:space="preserve">Each fall, the students’ assessments will be collected and provided to the course assessment team who will review the artifacts in the spring semester. Assessments for Dual Credit sections will be distributed to teachers in the spring semester instead of the fall semester. </w:t>
            </w:r>
          </w:p>
          <w:p w14:paraId="14AC269F" w14:textId="77777777" w:rsidR="0027296C" w:rsidRPr="003D66B9" w:rsidRDefault="0027296C" w:rsidP="0027296C">
            <w:p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p w14:paraId="4C57C0E9" w14:textId="2B526712" w:rsidR="0027296C" w:rsidRPr="003D66B9" w:rsidRDefault="0027296C" w:rsidP="0027296C">
            <w:p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B740C4">
              <w:rPr>
                <w:rFonts w:ascii="Arial" w:hAnsi="Arial" w:cs="Arial"/>
                <w:b/>
                <w:sz w:val="22"/>
                <w:szCs w:val="22"/>
              </w:rPr>
              <w:t>Note:</w:t>
            </w:r>
            <w:r w:rsidRPr="003D66B9">
              <w:rPr>
                <w:rFonts w:ascii="Arial" w:hAnsi="Arial" w:cs="Arial"/>
                <w:sz w:val="22"/>
                <w:szCs w:val="22"/>
              </w:rPr>
              <w:t xml:space="preserve"> Statistics done by the math faculty have demonstrated that analyzing any proportion of the quizzes, rather than all of them, could result in either over-estimation or under-estimation of the student’s actual abilities.</w:t>
            </w:r>
          </w:p>
        </w:tc>
      </w:tr>
      <w:tr w:rsidR="0027296C" w:rsidRPr="003D66B9" w14:paraId="10E8FD43" w14:textId="77777777" w:rsidTr="003D6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0C87D71A" w14:textId="1348F80E" w:rsidR="0027296C" w:rsidRPr="003D66B9" w:rsidRDefault="0027296C" w:rsidP="0027296C">
            <w:pPr>
              <w:ind w:left="450"/>
              <w:rPr>
                <w:rFonts w:ascii="Arial" w:hAnsi="Arial" w:cs="Arial"/>
                <w:b w:val="0"/>
                <w:sz w:val="22"/>
                <w:szCs w:val="22"/>
              </w:rPr>
            </w:pPr>
            <w:r w:rsidRPr="003D66B9">
              <w:rPr>
                <w:rFonts w:ascii="Arial" w:hAnsi="Arial" w:cs="Arial"/>
                <w:b w:val="0"/>
                <w:sz w:val="22"/>
                <w:szCs w:val="22"/>
              </w:rPr>
              <w:t>Relevant Dates</w:t>
            </w:r>
          </w:p>
        </w:tc>
        <w:tc>
          <w:tcPr>
            <w:tcW w:w="5480" w:type="dxa"/>
          </w:tcPr>
          <w:p w14:paraId="7160F4BE" w14:textId="5F62FF4E" w:rsidR="0027296C" w:rsidRDefault="0027296C" w:rsidP="0027296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Data collection FA2</w:t>
            </w:r>
            <w:r w:rsidR="00DE0E50">
              <w:rPr>
                <w:rFonts w:ascii="Arial" w:hAnsi="Arial" w:cs="Arial"/>
                <w:sz w:val="22"/>
                <w:szCs w:val="22"/>
              </w:rPr>
              <w:t>7</w:t>
            </w:r>
            <w:r>
              <w:rPr>
                <w:rFonts w:ascii="Arial" w:hAnsi="Arial" w:cs="Arial"/>
                <w:sz w:val="22"/>
                <w:szCs w:val="22"/>
              </w:rPr>
              <w:t>; review SP2</w:t>
            </w:r>
            <w:r w:rsidR="00DE0E50">
              <w:rPr>
                <w:rFonts w:ascii="Arial" w:hAnsi="Arial" w:cs="Arial"/>
                <w:sz w:val="22"/>
                <w:szCs w:val="22"/>
              </w:rPr>
              <w:t>8</w:t>
            </w:r>
            <w:r>
              <w:rPr>
                <w:rFonts w:ascii="Arial" w:hAnsi="Arial" w:cs="Arial"/>
                <w:sz w:val="22"/>
                <w:szCs w:val="22"/>
              </w:rPr>
              <w:t>; report FA2</w:t>
            </w:r>
            <w:r w:rsidR="00DE0E50">
              <w:rPr>
                <w:rFonts w:ascii="Arial" w:hAnsi="Arial" w:cs="Arial"/>
                <w:sz w:val="22"/>
                <w:szCs w:val="22"/>
              </w:rPr>
              <w:t>8</w:t>
            </w:r>
            <w:r>
              <w:rPr>
                <w:rFonts w:ascii="Arial" w:hAnsi="Arial" w:cs="Arial"/>
                <w:sz w:val="22"/>
                <w:szCs w:val="22"/>
              </w:rPr>
              <w:t>; report to faculty SP2</w:t>
            </w:r>
            <w:r w:rsidR="00DE0E50">
              <w:rPr>
                <w:rFonts w:ascii="Arial" w:hAnsi="Arial" w:cs="Arial"/>
                <w:sz w:val="22"/>
                <w:szCs w:val="22"/>
              </w:rPr>
              <w:t>9</w:t>
            </w:r>
          </w:p>
          <w:p w14:paraId="2F9A1E0D" w14:textId="77777777" w:rsidR="0027296C" w:rsidRDefault="0027296C" w:rsidP="0027296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A94036D" w14:textId="77777777" w:rsidR="0027296C" w:rsidRPr="0027296C" w:rsidRDefault="0027296C" w:rsidP="0027296C">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2"/>
                <w:szCs w:val="22"/>
              </w:rPr>
            </w:pPr>
            <w:r w:rsidRPr="0027296C">
              <w:rPr>
                <w:rFonts w:ascii="Arial" w:eastAsia="Calibri" w:hAnsi="Arial" w:cs="Arial"/>
                <w:b/>
                <w:sz w:val="22"/>
                <w:szCs w:val="22"/>
              </w:rPr>
              <w:t>MATH-</w:t>
            </w:r>
            <w:r>
              <w:rPr>
                <w:rFonts w:ascii="Arial" w:eastAsia="Calibri" w:hAnsi="Arial" w:cs="Arial"/>
                <w:b/>
                <w:sz w:val="22"/>
                <w:szCs w:val="22"/>
              </w:rPr>
              <w:t xml:space="preserve">157/257 </w:t>
            </w:r>
            <w:r w:rsidRPr="0027296C">
              <w:rPr>
                <w:rFonts w:ascii="Arial" w:eastAsia="Calibri" w:hAnsi="Arial" w:cs="Arial"/>
                <w:b/>
                <w:sz w:val="22"/>
                <w:szCs w:val="22"/>
              </w:rPr>
              <w:t>and MATH-</w:t>
            </w:r>
            <w:r>
              <w:rPr>
                <w:rFonts w:ascii="Arial" w:eastAsia="Calibri" w:hAnsi="Arial" w:cs="Arial"/>
                <w:b/>
                <w:sz w:val="22"/>
                <w:szCs w:val="22"/>
              </w:rPr>
              <w:t>130 and 130PT</w:t>
            </w:r>
            <w:r w:rsidRPr="0027296C">
              <w:rPr>
                <w:rFonts w:ascii="Arial" w:eastAsia="Calibri" w:hAnsi="Arial" w:cs="Arial"/>
                <w:b/>
                <w:sz w:val="22"/>
                <w:szCs w:val="22"/>
              </w:rPr>
              <w:t>:</w:t>
            </w:r>
          </w:p>
          <w:p w14:paraId="33272B7B" w14:textId="77777777" w:rsidR="00DE0E50" w:rsidRDefault="00DE0E50" w:rsidP="00DE0E50">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Pr>
                <w:rFonts w:ascii="Arial" w:eastAsia="Calibri" w:hAnsi="Arial" w:cs="Arial"/>
                <w:sz w:val="22"/>
                <w:szCs w:val="22"/>
              </w:rPr>
              <w:t>Data collection FA21; review SP22; report FA22</w:t>
            </w:r>
          </w:p>
          <w:p w14:paraId="00BBCDFA" w14:textId="77777777" w:rsidR="00DE0E50" w:rsidRDefault="00DE0E50" w:rsidP="00DE0E50">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2"/>
                <w:szCs w:val="22"/>
              </w:rPr>
            </w:pPr>
          </w:p>
          <w:p w14:paraId="676FE484" w14:textId="77777777" w:rsidR="0027296C" w:rsidRPr="0027296C" w:rsidRDefault="0027296C" w:rsidP="0027296C">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2"/>
                <w:szCs w:val="22"/>
              </w:rPr>
            </w:pPr>
            <w:r w:rsidRPr="0027296C">
              <w:rPr>
                <w:rFonts w:ascii="Arial" w:eastAsia="Calibri" w:hAnsi="Arial" w:cs="Arial"/>
                <w:b/>
                <w:sz w:val="22"/>
                <w:szCs w:val="22"/>
              </w:rPr>
              <w:t>MATH-</w:t>
            </w:r>
            <w:r>
              <w:rPr>
                <w:rFonts w:ascii="Arial" w:eastAsia="Calibri" w:hAnsi="Arial" w:cs="Arial"/>
                <w:b/>
                <w:sz w:val="22"/>
                <w:szCs w:val="22"/>
              </w:rPr>
              <w:t>147, MATH-147B</w:t>
            </w:r>
            <w:r w:rsidRPr="0027296C">
              <w:rPr>
                <w:rFonts w:ascii="Arial" w:eastAsia="Calibri" w:hAnsi="Arial" w:cs="Arial"/>
                <w:b/>
                <w:sz w:val="22"/>
                <w:szCs w:val="22"/>
              </w:rPr>
              <w:t xml:space="preserve"> and MATH-</w:t>
            </w:r>
            <w:r>
              <w:rPr>
                <w:rFonts w:ascii="Arial" w:eastAsia="Calibri" w:hAnsi="Arial" w:cs="Arial"/>
                <w:b/>
                <w:sz w:val="22"/>
                <w:szCs w:val="22"/>
              </w:rPr>
              <w:t>170</w:t>
            </w:r>
            <w:r w:rsidRPr="0027296C">
              <w:rPr>
                <w:rFonts w:ascii="Arial" w:eastAsia="Calibri" w:hAnsi="Arial" w:cs="Arial"/>
                <w:b/>
                <w:sz w:val="22"/>
                <w:szCs w:val="22"/>
              </w:rPr>
              <w:t>:</w:t>
            </w:r>
          </w:p>
          <w:p w14:paraId="267D88F2" w14:textId="77777777" w:rsidR="00DE0E50" w:rsidRDefault="00DE0E50" w:rsidP="00DE0E50">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Pr>
                <w:rFonts w:ascii="Arial" w:eastAsia="Calibri" w:hAnsi="Arial" w:cs="Arial"/>
                <w:sz w:val="22"/>
                <w:szCs w:val="22"/>
              </w:rPr>
              <w:t>Data collection FA20; review SP21; report FA21</w:t>
            </w:r>
          </w:p>
          <w:p w14:paraId="3C5AAA89" w14:textId="77777777" w:rsidR="0027296C" w:rsidRDefault="0027296C" w:rsidP="0027296C">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2"/>
                <w:szCs w:val="22"/>
              </w:rPr>
            </w:pPr>
          </w:p>
          <w:p w14:paraId="467FAA78" w14:textId="3E89825B" w:rsidR="0027296C" w:rsidRPr="0027296C" w:rsidRDefault="0027296C" w:rsidP="0027296C">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2"/>
                <w:szCs w:val="22"/>
              </w:rPr>
            </w:pPr>
            <w:r w:rsidRPr="0027296C">
              <w:rPr>
                <w:rFonts w:ascii="Arial" w:eastAsia="Calibri" w:hAnsi="Arial" w:cs="Arial"/>
                <w:b/>
                <w:sz w:val="22"/>
                <w:szCs w:val="22"/>
              </w:rPr>
              <w:t>MATH-123 and MATH-253:</w:t>
            </w:r>
          </w:p>
          <w:p w14:paraId="4FB5EA43" w14:textId="19A1CAD6" w:rsidR="0027296C" w:rsidRPr="003D66B9" w:rsidRDefault="00BE65A3" w:rsidP="0027296C">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Pr>
                <w:rFonts w:ascii="Arial" w:eastAsia="Calibri" w:hAnsi="Arial" w:cs="Arial"/>
                <w:sz w:val="22"/>
                <w:szCs w:val="22"/>
              </w:rPr>
              <w:t xml:space="preserve">Data collection </w:t>
            </w:r>
            <w:r w:rsidRPr="003D66B9">
              <w:rPr>
                <w:rFonts w:ascii="Arial" w:eastAsia="Calibri" w:hAnsi="Arial" w:cs="Arial"/>
                <w:sz w:val="22"/>
                <w:szCs w:val="22"/>
              </w:rPr>
              <w:t>F</w:t>
            </w:r>
            <w:r>
              <w:rPr>
                <w:rFonts w:ascii="Arial" w:eastAsia="Calibri" w:hAnsi="Arial" w:cs="Arial"/>
                <w:sz w:val="22"/>
                <w:szCs w:val="22"/>
              </w:rPr>
              <w:t>A19; review SP20; report FA20</w:t>
            </w:r>
          </w:p>
        </w:tc>
      </w:tr>
      <w:tr w:rsidR="0027296C" w:rsidRPr="003D66B9" w14:paraId="6076F22E" w14:textId="77777777" w:rsidTr="003D66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55489C8D" w14:textId="7E539B40" w:rsidR="0027296C" w:rsidRPr="003D66B9" w:rsidRDefault="0027296C" w:rsidP="0027296C">
            <w:pPr>
              <w:ind w:left="450"/>
              <w:rPr>
                <w:rFonts w:ascii="Arial" w:hAnsi="Arial" w:cs="Arial"/>
                <w:b w:val="0"/>
                <w:sz w:val="22"/>
                <w:szCs w:val="22"/>
              </w:rPr>
            </w:pPr>
            <w:r w:rsidRPr="003D66B9">
              <w:rPr>
                <w:rFonts w:ascii="Arial" w:hAnsi="Arial" w:cs="Arial"/>
                <w:b w:val="0"/>
                <w:sz w:val="22"/>
                <w:szCs w:val="22"/>
              </w:rPr>
              <w:t>Results</w:t>
            </w:r>
          </w:p>
        </w:tc>
        <w:tc>
          <w:tcPr>
            <w:tcW w:w="5480" w:type="dxa"/>
          </w:tcPr>
          <w:p w14:paraId="4A4F54D9" w14:textId="12C62838" w:rsidR="0027296C" w:rsidRPr="003D66B9" w:rsidRDefault="0027296C" w:rsidP="0027296C">
            <w:pP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tc>
      </w:tr>
      <w:tr w:rsidR="0027296C" w:rsidRPr="003D66B9" w14:paraId="280EE2EF" w14:textId="77777777" w:rsidTr="003D6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4E35B763" w14:textId="6877EFE4" w:rsidR="0027296C" w:rsidRPr="003D66B9" w:rsidRDefault="0027296C" w:rsidP="0027296C">
            <w:pPr>
              <w:ind w:left="450"/>
              <w:rPr>
                <w:rFonts w:ascii="Arial" w:hAnsi="Arial" w:cs="Arial"/>
                <w:b w:val="0"/>
                <w:bCs w:val="0"/>
                <w:sz w:val="22"/>
                <w:szCs w:val="22"/>
              </w:rPr>
            </w:pPr>
            <w:r w:rsidRPr="003D66B9">
              <w:rPr>
                <w:rFonts w:ascii="Arial" w:hAnsi="Arial" w:cs="Arial"/>
                <w:b w:val="0"/>
                <w:sz w:val="22"/>
                <w:szCs w:val="22"/>
              </w:rPr>
              <w:t>Analysis</w:t>
            </w:r>
          </w:p>
        </w:tc>
        <w:tc>
          <w:tcPr>
            <w:tcW w:w="5480" w:type="dxa"/>
          </w:tcPr>
          <w:p w14:paraId="7DC92149" w14:textId="32ACB599" w:rsidR="0027296C" w:rsidRPr="003D66B9" w:rsidRDefault="0027296C" w:rsidP="0027296C">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p>
        </w:tc>
      </w:tr>
      <w:tr w:rsidR="0027296C" w:rsidRPr="003D66B9" w14:paraId="7704B4E7" w14:textId="77777777" w:rsidTr="003D66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5E24B693" w14:textId="5C3AF197" w:rsidR="0027296C" w:rsidRPr="003D66B9" w:rsidRDefault="0027296C" w:rsidP="0027296C">
            <w:pPr>
              <w:ind w:left="450"/>
              <w:rPr>
                <w:rFonts w:ascii="Arial" w:hAnsi="Arial" w:cs="Arial"/>
                <w:b w:val="0"/>
                <w:sz w:val="22"/>
                <w:szCs w:val="22"/>
              </w:rPr>
            </w:pPr>
            <w:r w:rsidRPr="003D66B9">
              <w:rPr>
                <w:rFonts w:ascii="Arial" w:hAnsi="Arial" w:cs="Arial"/>
                <w:b w:val="0"/>
                <w:sz w:val="22"/>
                <w:szCs w:val="22"/>
              </w:rPr>
              <w:t>Work Plan Element</w:t>
            </w:r>
          </w:p>
        </w:tc>
        <w:tc>
          <w:tcPr>
            <w:tcW w:w="5480" w:type="dxa"/>
          </w:tcPr>
          <w:p w14:paraId="417D17BE" w14:textId="77777777" w:rsidR="0027296C" w:rsidRPr="003D66B9" w:rsidRDefault="0027296C" w:rsidP="0027296C">
            <w:pP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tc>
      </w:tr>
      <w:tr w:rsidR="0027296C" w:rsidRPr="003D66B9" w14:paraId="3045BBFA" w14:textId="77777777" w:rsidTr="003D6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0A9CFCCE" w14:textId="736FBE1E" w:rsidR="0027296C" w:rsidRPr="003D66B9" w:rsidRDefault="0027296C" w:rsidP="0027296C">
            <w:pPr>
              <w:ind w:left="450"/>
              <w:rPr>
                <w:rFonts w:ascii="Arial" w:hAnsi="Arial" w:cs="Arial"/>
                <w:b w:val="0"/>
                <w:sz w:val="22"/>
                <w:szCs w:val="22"/>
              </w:rPr>
            </w:pPr>
            <w:r w:rsidRPr="003D66B9">
              <w:rPr>
                <w:rFonts w:ascii="Arial" w:hAnsi="Arial" w:cs="Arial"/>
                <w:b w:val="0"/>
                <w:bCs w:val="0"/>
                <w:sz w:val="22"/>
                <w:szCs w:val="22"/>
              </w:rPr>
              <w:t>Courses to be Assessed</w:t>
            </w:r>
          </w:p>
        </w:tc>
        <w:tc>
          <w:tcPr>
            <w:tcW w:w="5480" w:type="dxa"/>
          </w:tcPr>
          <w:p w14:paraId="439B1A1E" w14:textId="20DD7C09" w:rsidR="0027296C" w:rsidRPr="003D66B9" w:rsidRDefault="0027296C" w:rsidP="0027296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D66B9">
              <w:rPr>
                <w:rFonts w:ascii="Arial" w:hAnsi="Arial" w:cs="Arial"/>
                <w:sz w:val="22"/>
                <w:szCs w:val="22"/>
              </w:rPr>
              <w:t>MATH-123</w:t>
            </w:r>
            <w:r w:rsidRPr="003D66B9">
              <w:rPr>
                <w:rFonts w:ascii="Arial" w:hAnsi="Arial" w:cs="Arial"/>
                <w:b/>
                <w:bCs/>
                <w:sz w:val="22"/>
                <w:szCs w:val="22"/>
              </w:rPr>
              <w:t xml:space="preserve">, </w:t>
            </w:r>
            <w:r w:rsidRPr="003D66B9">
              <w:rPr>
                <w:rFonts w:ascii="Arial" w:hAnsi="Arial" w:cs="Arial"/>
                <w:sz w:val="22"/>
                <w:szCs w:val="22"/>
              </w:rPr>
              <w:t>MATH-143</w:t>
            </w:r>
            <w:r w:rsidRPr="003D66B9">
              <w:rPr>
                <w:rFonts w:ascii="Arial" w:hAnsi="Arial" w:cs="Arial"/>
                <w:b/>
                <w:bCs/>
                <w:sz w:val="22"/>
                <w:szCs w:val="22"/>
              </w:rPr>
              <w:t xml:space="preserve">, </w:t>
            </w:r>
            <w:r w:rsidRPr="003D66B9">
              <w:rPr>
                <w:rFonts w:ascii="Arial" w:hAnsi="Arial" w:cs="Arial"/>
                <w:sz w:val="22"/>
                <w:szCs w:val="22"/>
              </w:rPr>
              <w:t>MATH-147</w:t>
            </w:r>
            <w:r w:rsidRPr="003D66B9">
              <w:rPr>
                <w:rFonts w:ascii="Arial" w:hAnsi="Arial" w:cs="Arial"/>
                <w:b/>
                <w:bCs/>
                <w:sz w:val="22"/>
                <w:szCs w:val="22"/>
              </w:rPr>
              <w:t xml:space="preserve">, </w:t>
            </w:r>
            <w:r w:rsidRPr="003D66B9">
              <w:rPr>
                <w:rFonts w:ascii="Arial" w:hAnsi="Arial" w:cs="Arial"/>
                <w:sz w:val="22"/>
                <w:szCs w:val="22"/>
              </w:rPr>
              <w:t>MATH-153</w:t>
            </w:r>
            <w:r w:rsidRPr="003D66B9">
              <w:rPr>
                <w:rFonts w:ascii="Arial" w:hAnsi="Arial" w:cs="Arial"/>
                <w:b/>
                <w:bCs/>
                <w:sz w:val="22"/>
                <w:szCs w:val="22"/>
              </w:rPr>
              <w:t xml:space="preserve">, </w:t>
            </w:r>
            <w:r w:rsidRPr="003D66B9">
              <w:rPr>
                <w:rFonts w:ascii="Arial" w:hAnsi="Arial" w:cs="Arial"/>
                <w:sz w:val="22"/>
                <w:szCs w:val="22"/>
              </w:rPr>
              <w:t>MATH-170</w:t>
            </w:r>
            <w:r w:rsidRPr="003D66B9">
              <w:rPr>
                <w:rFonts w:ascii="Arial" w:hAnsi="Arial" w:cs="Arial"/>
                <w:b/>
                <w:bCs/>
                <w:sz w:val="22"/>
                <w:szCs w:val="22"/>
              </w:rPr>
              <w:t xml:space="preserve">, </w:t>
            </w:r>
            <w:r w:rsidRPr="003D66B9">
              <w:rPr>
                <w:rFonts w:ascii="Arial" w:hAnsi="Arial" w:cs="Arial"/>
                <w:sz w:val="22"/>
                <w:szCs w:val="22"/>
              </w:rPr>
              <w:t>MATH-253</w:t>
            </w:r>
            <w:r w:rsidRPr="003D66B9">
              <w:rPr>
                <w:rFonts w:ascii="Arial" w:hAnsi="Arial" w:cs="Arial"/>
                <w:b/>
                <w:bCs/>
                <w:sz w:val="22"/>
                <w:szCs w:val="22"/>
              </w:rPr>
              <w:t xml:space="preserve">, </w:t>
            </w:r>
            <w:r w:rsidRPr="003D66B9">
              <w:rPr>
                <w:rFonts w:ascii="Arial" w:hAnsi="Arial" w:cs="Arial"/>
                <w:sz w:val="22"/>
                <w:szCs w:val="22"/>
              </w:rPr>
              <w:t>MATH-257</w:t>
            </w:r>
            <w:r w:rsidRPr="003D66B9">
              <w:rPr>
                <w:rFonts w:ascii="Arial" w:hAnsi="Arial" w:cs="Arial"/>
                <w:b/>
                <w:bCs/>
                <w:sz w:val="22"/>
                <w:szCs w:val="22"/>
              </w:rPr>
              <w:t xml:space="preserve">, </w:t>
            </w:r>
            <w:r w:rsidRPr="003D66B9">
              <w:rPr>
                <w:rFonts w:ascii="Arial" w:hAnsi="Arial" w:cs="Arial"/>
                <w:sz w:val="22"/>
                <w:szCs w:val="22"/>
              </w:rPr>
              <w:t>MTHPT-130</w:t>
            </w:r>
            <w:r w:rsidRPr="003D66B9">
              <w:rPr>
                <w:rFonts w:ascii="Arial" w:hAnsi="Arial" w:cs="Arial"/>
                <w:b/>
                <w:bCs/>
                <w:sz w:val="22"/>
                <w:szCs w:val="22"/>
              </w:rPr>
              <w:t xml:space="preserve">, </w:t>
            </w:r>
            <w:r w:rsidRPr="003D66B9">
              <w:rPr>
                <w:rFonts w:ascii="Arial" w:hAnsi="Arial" w:cs="Arial"/>
                <w:sz w:val="22"/>
                <w:szCs w:val="22"/>
              </w:rPr>
              <w:t>MTHPT-137, MTHPT-153</w:t>
            </w:r>
          </w:p>
        </w:tc>
      </w:tr>
    </w:tbl>
    <w:p w14:paraId="4ED54F3A" w14:textId="56D4CDC0" w:rsidR="006C5F34" w:rsidRPr="003D66B9" w:rsidRDefault="006C5F34" w:rsidP="008C18F4">
      <w:pPr>
        <w:rPr>
          <w:rFonts w:ascii="Arial" w:hAnsi="Arial" w:cs="Arial"/>
          <w:sz w:val="22"/>
          <w:szCs w:val="22"/>
        </w:rPr>
      </w:pPr>
    </w:p>
    <w:sectPr w:rsidR="006C5F34" w:rsidRPr="003D66B9" w:rsidSect="003D66B9">
      <w:footerReference w:type="default" r:id="rId7"/>
      <w:pgSz w:w="12240" w:h="16340"/>
      <w:pgMar w:top="1440" w:right="1800" w:bottom="1440"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A6957" w14:textId="77777777" w:rsidR="008028B5" w:rsidRDefault="008028B5" w:rsidP="0027296C">
      <w:r>
        <w:separator/>
      </w:r>
    </w:p>
  </w:endnote>
  <w:endnote w:type="continuationSeparator" w:id="0">
    <w:p w14:paraId="3C9717BC" w14:textId="77777777" w:rsidR="008028B5" w:rsidRDefault="008028B5" w:rsidP="0027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140107"/>
      <w:docPartObj>
        <w:docPartGallery w:val="Page Numbers (Bottom of Page)"/>
        <w:docPartUnique/>
      </w:docPartObj>
    </w:sdtPr>
    <w:sdtEndPr>
      <w:rPr>
        <w:noProof/>
      </w:rPr>
    </w:sdtEndPr>
    <w:sdtContent>
      <w:p w14:paraId="60118E80" w14:textId="0DC4932F" w:rsidR="0027296C" w:rsidRDefault="0027296C">
        <w:pPr>
          <w:pStyle w:val="Footer"/>
          <w:jc w:val="right"/>
        </w:pPr>
        <w:r w:rsidRPr="0027296C">
          <w:rPr>
            <w:rFonts w:ascii="Arial" w:hAnsi="Arial" w:cs="Arial"/>
            <w:sz w:val="20"/>
            <w:szCs w:val="20"/>
          </w:rPr>
          <w:fldChar w:fldCharType="begin"/>
        </w:r>
        <w:r w:rsidRPr="0027296C">
          <w:rPr>
            <w:rFonts w:ascii="Arial" w:hAnsi="Arial" w:cs="Arial"/>
            <w:sz w:val="20"/>
            <w:szCs w:val="20"/>
          </w:rPr>
          <w:instrText xml:space="preserve"> PAGE   \* MERGEFORMAT </w:instrText>
        </w:r>
        <w:r w:rsidRPr="0027296C">
          <w:rPr>
            <w:rFonts w:ascii="Arial" w:hAnsi="Arial" w:cs="Arial"/>
            <w:sz w:val="20"/>
            <w:szCs w:val="20"/>
          </w:rPr>
          <w:fldChar w:fldCharType="separate"/>
        </w:r>
        <w:r w:rsidRPr="0027296C">
          <w:rPr>
            <w:rFonts w:ascii="Arial" w:hAnsi="Arial" w:cs="Arial"/>
            <w:noProof/>
            <w:sz w:val="20"/>
            <w:szCs w:val="20"/>
          </w:rPr>
          <w:t>2</w:t>
        </w:r>
        <w:r w:rsidRPr="0027296C">
          <w:rPr>
            <w:rFonts w:ascii="Arial" w:hAnsi="Arial" w:cs="Arial"/>
            <w:noProof/>
            <w:sz w:val="20"/>
            <w:szCs w:val="20"/>
          </w:rPr>
          <w:fldChar w:fldCharType="end"/>
        </w:r>
      </w:p>
    </w:sdtContent>
  </w:sdt>
  <w:p w14:paraId="0EEEB136" w14:textId="77777777" w:rsidR="0027296C" w:rsidRDefault="00272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AF470" w14:textId="77777777" w:rsidR="008028B5" w:rsidRDefault="008028B5" w:rsidP="0027296C">
      <w:r>
        <w:separator/>
      </w:r>
    </w:p>
  </w:footnote>
  <w:footnote w:type="continuationSeparator" w:id="0">
    <w:p w14:paraId="49FC830C" w14:textId="77777777" w:rsidR="008028B5" w:rsidRDefault="008028B5" w:rsidP="00272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31A05"/>
    <w:multiLevelType w:val="hybridMultilevel"/>
    <w:tmpl w:val="D238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D31A9E"/>
    <w:multiLevelType w:val="hybridMultilevel"/>
    <w:tmpl w:val="84F2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296749"/>
    <w:multiLevelType w:val="hybridMultilevel"/>
    <w:tmpl w:val="4808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303146">
    <w:abstractNumId w:val="1"/>
  </w:num>
  <w:num w:numId="2" w16cid:durableId="124351334">
    <w:abstractNumId w:val="2"/>
  </w:num>
  <w:num w:numId="3" w16cid:durableId="1624845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4B"/>
    <w:rsid w:val="000B3EB8"/>
    <w:rsid w:val="000F1597"/>
    <w:rsid w:val="0011591A"/>
    <w:rsid w:val="001312C5"/>
    <w:rsid w:val="001B0B24"/>
    <w:rsid w:val="001B4C92"/>
    <w:rsid w:val="0021059C"/>
    <w:rsid w:val="00265C95"/>
    <w:rsid w:val="0027296C"/>
    <w:rsid w:val="0035019E"/>
    <w:rsid w:val="003A58BF"/>
    <w:rsid w:val="003D66B9"/>
    <w:rsid w:val="004E3DDF"/>
    <w:rsid w:val="005A2611"/>
    <w:rsid w:val="00665328"/>
    <w:rsid w:val="006C5F34"/>
    <w:rsid w:val="007B04EA"/>
    <w:rsid w:val="008028B5"/>
    <w:rsid w:val="008479CB"/>
    <w:rsid w:val="00866C0C"/>
    <w:rsid w:val="008C18F4"/>
    <w:rsid w:val="00943BBF"/>
    <w:rsid w:val="00982742"/>
    <w:rsid w:val="009A76C6"/>
    <w:rsid w:val="009F4E03"/>
    <w:rsid w:val="00A0234B"/>
    <w:rsid w:val="00A808E8"/>
    <w:rsid w:val="00B579C6"/>
    <w:rsid w:val="00B637DE"/>
    <w:rsid w:val="00B740C4"/>
    <w:rsid w:val="00BA326F"/>
    <w:rsid w:val="00BE65A3"/>
    <w:rsid w:val="00C21388"/>
    <w:rsid w:val="00C304DF"/>
    <w:rsid w:val="00CE7A0F"/>
    <w:rsid w:val="00DE0E50"/>
    <w:rsid w:val="00EF56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0931"/>
  <w15:chartTrackingRefBased/>
  <w15:docId w15:val="{53359366-662F-DA42-AA70-8CBA5EF3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Theme="minorHAnsi" w:hAnsi="Helvetica Neue"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234B"/>
    <w:pPr>
      <w:autoSpaceDE w:val="0"/>
      <w:autoSpaceDN w:val="0"/>
      <w:adjustRightInd w:val="0"/>
    </w:pPr>
    <w:rPr>
      <w:rFonts w:ascii="Times New Roman" w:hAnsi="Times New Roman" w:cs="Times New Roman"/>
      <w:color w:val="000000"/>
    </w:rPr>
  </w:style>
  <w:style w:type="paragraph" w:styleId="Title">
    <w:name w:val="Title"/>
    <w:basedOn w:val="Normal"/>
    <w:next w:val="Normal"/>
    <w:link w:val="TitleChar"/>
    <w:uiPriority w:val="10"/>
    <w:qFormat/>
    <w:rsid w:val="00A0234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34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21388"/>
    <w:pPr>
      <w:ind w:left="720"/>
      <w:contextualSpacing/>
    </w:pPr>
  </w:style>
  <w:style w:type="character" w:styleId="CommentReference">
    <w:name w:val="annotation reference"/>
    <w:basedOn w:val="DefaultParagraphFont"/>
    <w:uiPriority w:val="99"/>
    <w:semiHidden/>
    <w:unhideWhenUsed/>
    <w:rsid w:val="00B637DE"/>
    <w:rPr>
      <w:sz w:val="16"/>
      <w:szCs w:val="16"/>
    </w:rPr>
  </w:style>
  <w:style w:type="paragraph" w:styleId="CommentText">
    <w:name w:val="annotation text"/>
    <w:basedOn w:val="Normal"/>
    <w:link w:val="CommentTextChar"/>
    <w:uiPriority w:val="99"/>
    <w:semiHidden/>
    <w:unhideWhenUsed/>
    <w:rsid w:val="00B637DE"/>
    <w:rPr>
      <w:sz w:val="20"/>
      <w:szCs w:val="20"/>
    </w:rPr>
  </w:style>
  <w:style w:type="character" w:customStyle="1" w:styleId="CommentTextChar">
    <w:name w:val="Comment Text Char"/>
    <w:basedOn w:val="DefaultParagraphFont"/>
    <w:link w:val="CommentText"/>
    <w:uiPriority w:val="99"/>
    <w:semiHidden/>
    <w:rsid w:val="00B637DE"/>
    <w:rPr>
      <w:sz w:val="20"/>
      <w:szCs w:val="20"/>
    </w:rPr>
  </w:style>
  <w:style w:type="paragraph" w:styleId="CommentSubject">
    <w:name w:val="annotation subject"/>
    <w:basedOn w:val="CommentText"/>
    <w:next w:val="CommentText"/>
    <w:link w:val="CommentSubjectChar"/>
    <w:uiPriority w:val="99"/>
    <w:semiHidden/>
    <w:unhideWhenUsed/>
    <w:rsid w:val="00B637DE"/>
    <w:rPr>
      <w:b/>
      <w:bCs/>
    </w:rPr>
  </w:style>
  <w:style w:type="character" w:customStyle="1" w:styleId="CommentSubjectChar">
    <w:name w:val="Comment Subject Char"/>
    <w:basedOn w:val="CommentTextChar"/>
    <w:link w:val="CommentSubject"/>
    <w:uiPriority w:val="99"/>
    <w:semiHidden/>
    <w:rsid w:val="00B637DE"/>
    <w:rPr>
      <w:b/>
      <w:bCs/>
      <w:sz w:val="20"/>
      <w:szCs w:val="20"/>
    </w:rPr>
  </w:style>
  <w:style w:type="paragraph" w:styleId="Revision">
    <w:name w:val="Revision"/>
    <w:hidden/>
    <w:uiPriority w:val="99"/>
    <w:semiHidden/>
    <w:rsid w:val="000B3EB8"/>
  </w:style>
  <w:style w:type="table" w:customStyle="1" w:styleId="LightGrid-Accent11">
    <w:name w:val="Light Grid - Accent 11"/>
    <w:basedOn w:val="TableNormal"/>
    <w:next w:val="LightGrid-Accent1"/>
    <w:uiPriority w:val="62"/>
    <w:rsid w:val="006C5F34"/>
    <w:rPr>
      <w:rFonts w:ascii="Cambria" w:eastAsia="MS Mincho" w:hAnsi="Cambri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semiHidden/>
    <w:unhideWhenUsed/>
    <w:rsid w:val="006C5F34"/>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Header">
    <w:name w:val="header"/>
    <w:basedOn w:val="Normal"/>
    <w:link w:val="HeaderChar"/>
    <w:uiPriority w:val="99"/>
    <w:unhideWhenUsed/>
    <w:rsid w:val="0027296C"/>
    <w:pPr>
      <w:tabs>
        <w:tab w:val="center" w:pos="4680"/>
        <w:tab w:val="right" w:pos="9360"/>
      </w:tabs>
    </w:pPr>
  </w:style>
  <w:style w:type="character" w:customStyle="1" w:styleId="HeaderChar">
    <w:name w:val="Header Char"/>
    <w:basedOn w:val="DefaultParagraphFont"/>
    <w:link w:val="Header"/>
    <w:uiPriority w:val="99"/>
    <w:rsid w:val="0027296C"/>
  </w:style>
  <w:style w:type="paragraph" w:styleId="Footer">
    <w:name w:val="footer"/>
    <w:basedOn w:val="Normal"/>
    <w:link w:val="FooterChar"/>
    <w:uiPriority w:val="99"/>
    <w:unhideWhenUsed/>
    <w:rsid w:val="0027296C"/>
    <w:pPr>
      <w:tabs>
        <w:tab w:val="center" w:pos="4680"/>
        <w:tab w:val="right" w:pos="9360"/>
      </w:tabs>
    </w:pPr>
  </w:style>
  <w:style w:type="character" w:customStyle="1" w:styleId="FooterChar">
    <w:name w:val="Footer Char"/>
    <w:basedOn w:val="DefaultParagraphFont"/>
    <w:link w:val="Footer"/>
    <w:uiPriority w:val="99"/>
    <w:rsid w:val="00272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27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6007</Characters>
  <Application>Microsoft Office Word</Application>
  <DocSecurity>4</DocSecurity>
  <Lines>250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Payton</dc:creator>
  <cp:keywords/>
  <dc:description/>
  <cp:lastModifiedBy>Julie A. Christianson</cp:lastModifiedBy>
  <cp:revision>2</cp:revision>
  <dcterms:created xsi:type="dcterms:W3CDTF">2025-10-21T19:36:00Z</dcterms:created>
  <dcterms:modified xsi:type="dcterms:W3CDTF">2025-10-21T19:36:00Z</dcterms:modified>
</cp:coreProperties>
</file>