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02AA19A1"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6E496B">
        <w:t>Humanistic and Artistic Ways of Knowing</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3BF6EDFB"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i. Recognize and describe humanistic, historical, or artistic works within</w:t>
      </w:r>
    </w:p>
    <w:p w14:paraId="0B148B3B"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 xml:space="preserve">problems and patterns of </w:t>
      </w:r>
      <w:proofErr w:type="gramStart"/>
      <w:r w:rsidRPr="006E496B">
        <w:rPr>
          <w:rFonts w:ascii="Calibri" w:eastAsia="Calibri" w:hAnsi="Calibri" w:cs="Arial"/>
          <w:lang w:eastAsia="en-US"/>
        </w:rPr>
        <w:t>the human</w:t>
      </w:r>
      <w:proofErr w:type="gramEnd"/>
      <w:r w:rsidRPr="006E496B">
        <w:rPr>
          <w:rFonts w:ascii="Calibri" w:eastAsia="Calibri" w:hAnsi="Calibri" w:cs="Arial"/>
          <w:lang w:eastAsia="en-US"/>
        </w:rPr>
        <w:t xml:space="preserve"> experience.</w:t>
      </w:r>
    </w:p>
    <w:p w14:paraId="2E2E1021"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ii. Distinguish and apply methodologies, approaches, or traditions specific to the</w:t>
      </w:r>
    </w:p>
    <w:p w14:paraId="382D9695"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discipline.</w:t>
      </w:r>
    </w:p>
    <w:p w14:paraId="47F6AEBD"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iii. Differentiate formal, conceptual, and technical elements specific to the</w:t>
      </w:r>
    </w:p>
    <w:p w14:paraId="5D9A75FB"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discipline.</w:t>
      </w:r>
    </w:p>
    <w:p w14:paraId="09ACF88D"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 xml:space="preserve">iv. Analyze, evaluate, and interpret texts, objects, events, or ideas in </w:t>
      </w:r>
      <w:proofErr w:type="gramStart"/>
      <w:r w:rsidRPr="006E496B">
        <w:rPr>
          <w:rFonts w:ascii="Calibri" w:eastAsia="Calibri" w:hAnsi="Calibri" w:cs="Arial"/>
          <w:lang w:eastAsia="en-US"/>
        </w:rPr>
        <w:t>their</w:t>
      </w:r>
      <w:proofErr w:type="gramEnd"/>
    </w:p>
    <w:p w14:paraId="4BC7EEF2"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cultural, intellectual or historical contexts.</w:t>
      </w:r>
    </w:p>
    <w:p w14:paraId="50269CD2"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v. Interpret artistic or humanistic works through the creation of art, language, or</w:t>
      </w:r>
    </w:p>
    <w:p w14:paraId="745AF522"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performance.</w:t>
      </w:r>
    </w:p>
    <w:p w14:paraId="607B192D"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vi. Develop critical perspectives or arguments about the subject matter,</w:t>
      </w:r>
    </w:p>
    <w:p w14:paraId="6D81CF0D"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grounded in evidence-based analysis.</w:t>
      </w:r>
    </w:p>
    <w:p w14:paraId="27F121A8" w14:textId="77777777" w:rsidR="006E496B" w:rsidRPr="006E496B"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vii. Demonstrate self-reflection, widened perspective, and respect for diverse</w:t>
      </w:r>
    </w:p>
    <w:p w14:paraId="001C9A08" w14:textId="68A4EE4A" w:rsidR="006A0DEB" w:rsidRPr="00AC18B6" w:rsidRDefault="006E496B" w:rsidP="006E496B">
      <w:pPr>
        <w:spacing w:after="0" w:line="240" w:lineRule="auto"/>
        <w:ind w:left="720"/>
        <w:contextualSpacing/>
        <w:rPr>
          <w:rFonts w:ascii="Calibri" w:eastAsia="Calibri" w:hAnsi="Calibri" w:cs="Arial"/>
          <w:lang w:eastAsia="en-US"/>
        </w:rPr>
      </w:pPr>
      <w:r w:rsidRPr="006E496B">
        <w:rPr>
          <w:rFonts w:ascii="Calibri" w:eastAsia="Calibri" w:hAnsi="Calibri" w:cs="Arial"/>
          <w:lang w:eastAsia="en-US"/>
        </w:rPr>
        <w:t>viewpoints</w:t>
      </w:r>
      <w:r w:rsidR="001A5094"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lastRenderedPageBreak/>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lastRenderedPageBreak/>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w:t>
      </w:r>
      <w:r w:rsidRPr="00AC18B6">
        <w:rPr>
          <w:rFonts w:ascii="Calibri" w:eastAsia="Calibri" w:hAnsi="Calibri" w:cs="Arial"/>
          <w:lang w:eastAsia="en-US"/>
        </w:rPr>
        <w:lastRenderedPageBreak/>
        <w:t xml:space="preserve">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43C4"/>
    <w:rsid w:val="000D6751"/>
    <w:rsid w:val="00114121"/>
    <w:rsid w:val="00153A7D"/>
    <w:rsid w:val="001A5094"/>
    <w:rsid w:val="005E3596"/>
    <w:rsid w:val="006A0DEB"/>
    <w:rsid w:val="006E496B"/>
    <w:rsid w:val="007551CC"/>
    <w:rsid w:val="008C65FA"/>
    <w:rsid w:val="009009AE"/>
    <w:rsid w:val="00A219BB"/>
    <w:rsid w:val="00AB4AAC"/>
    <w:rsid w:val="00AC18B6"/>
    <w:rsid w:val="00B1100D"/>
    <w:rsid w:val="00B56A2B"/>
    <w:rsid w:val="00B93F33"/>
    <w:rsid w:val="00D006A5"/>
    <w:rsid w:val="00D31E13"/>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7984</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2025-06-18T19:05:00Z</dcterms:created>
  <dcterms:modified xsi:type="dcterms:W3CDTF">2025-06-18T19:05:00Z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