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CE41" w14:textId="77777777" w:rsidR="00127F64" w:rsidRPr="00976FD2" w:rsidRDefault="00127F64" w:rsidP="00976FD2">
      <w:pPr>
        <w:pStyle w:val="Heading2"/>
        <w:kinsoku w:val="0"/>
        <w:overflowPunct w:val="0"/>
        <w:jc w:val="both"/>
        <w:rPr>
          <w:rFonts w:ascii="Franklin Gothic Book" w:hAnsi="Franklin Gothic Book"/>
          <w:b/>
          <w:bCs/>
          <w:color w:val="000000" w:themeColor="text1"/>
        </w:rPr>
      </w:pPr>
      <w:r w:rsidRPr="00976FD2">
        <w:rPr>
          <w:rFonts w:ascii="Franklin Gothic Book" w:hAnsi="Franklin Gothic Book"/>
          <w:b/>
          <w:bCs/>
          <w:color w:val="000000" w:themeColor="text1"/>
        </w:rPr>
        <w:t>Annual Calendar</w:t>
      </w:r>
    </w:p>
    <w:p w14:paraId="16CEE17A" w14:textId="179F07CA" w:rsidR="009F58AE" w:rsidRPr="00976FD2" w:rsidRDefault="00127F64" w:rsidP="00976FD2">
      <w:pPr>
        <w:pStyle w:val="BodyText"/>
        <w:kinsoku w:val="0"/>
        <w:overflowPunct w:val="0"/>
        <w:ind w:right="-270"/>
        <w:rPr>
          <w:color w:val="2E2E2E"/>
        </w:rPr>
      </w:pPr>
      <w:r>
        <w:rPr>
          <w:color w:val="2E2E2E"/>
        </w:rPr>
        <w:t xml:space="preserve">Perkins funds are awarded to subrecipients from July 1-June 30. The annual calendar below details the submission deadlines and requirements. Additional information regarding these requirements can be found in the </w:t>
      </w:r>
      <w:hyperlink w:anchor="bookmark43" w:history="1">
        <w:r>
          <w:rPr>
            <w:color w:val="006FB1"/>
            <w:u w:val="single"/>
          </w:rPr>
          <w:t>Appendix F</w:t>
        </w:r>
      </w:hyperlink>
      <w:r>
        <w:rPr>
          <w:color w:val="2E2E2E"/>
        </w:rPr>
        <w:t>: Annual Calendar (detailed).</w:t>
      </w:r>
    </w:p>
    <w:tbl>
      <w:tblPr>
        <w:tblpPr w:leftFromText="180" w:rightFromText="180" w:vertAnchor="page" w:horzAnchor="margin" w:tblpY="3076"/>
        <w:tblW w:w="9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2263"/>
      </w:tblGrid>
      <w:tr w:rsidR="00976FD2" w14:paraId="2A505825" w14:textId="77777777" w:rsidTr="00976FD2">
        <w:trPr>
          <w:trHeight w:val="443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BDF98A" w14:textId="77777777" w:rsidR="00976FD2" w:rsidRPr="00976FD2" w:rsidRDefault="00976FD2" w:rsidP="00976FD2">
            <w:pPr>
              <w:pStyle w:val="TableParagraph"/>
              <w:kinsoku w:val="0"/>
              <w:overflowPunct w:val="0"/>
              <w:rPr>
                <w:b/>
                <w:bCs/>
                <w:color w:val="2F2F2E"/>
                <w:sz w:val="32"/>
                <w:szCs w:val="32"/>
              </w:rPr>
            </w:pPr>
            <w:r w:rsidRPr="00976FD2">
              <w:rPr>
                <w:b/>
                <w:bCs/>
                <w:color w:val="2F2F2E"/>
                <w:sz w:val="32"/>
                <w:szCs w:val="32"/>
              </w:rPr>
              <w:t>Perkins Forms &amp; Processes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1B09B5" w14:textId="77777777" w:rsidR="00976FD2" w:rsidRPr="00976FD2" w:rsidRDefault="00976FD2" w:rsidP="00976FD2">
            <w:pPr>
              <w:pStyle w:val="TableParagraph"/>
              <w:kinsoku w:val="0"/>
              <w:overflowPunct w:val="0"/>
              <w:ind w:left="149" w:right="140"/>
              <w:jc w:val="center"/>
              <w:rPr>
                <w:b/>
                <w:bCs/>
                <w:color w:val="2F2F2E"/>
                <w:sz w:val="32"/>
                <w:szCs w:val="32"/>
              </w:rPr>
            </w:pPr>
            <w:r w:rsidRPr="00976FD2">
              <w:rPr>
                <w:b/>
                <w:bCs/>
                <w:color w:val="2F2F2E"/>
                <w:sz w:val="32"/>
                <w:szCs w:val="32"/>
              </w:rPr>
              <w:t>Due Date</w:t>
            </w:r>
          </w:p>
        </w:tc>
      </w:tr>
      <w:tr w:rsidR="00976FD2" w14:paraId="769409B6" w14:textId="77777777" w:rsidTr="00976FD2">
        <w:trPr>
          <w:trHeight w:val="249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52CA" w14:textId="77777777" w:rsidR="00976FD2" w:rsidRDefault="00FF31E4" w:rsidP="00976FD2">
            <w:pPr>
              <w:pStyle w:val="TableParagraph"/>
              <w:kinsoku w:val="0"/>
              <w:overflowPunct w:val="0"/>
              <w:spacing w:line="229" w:lineRule="exact"/>
              <w:rPr>
                <w:color w:val="000000"/>
                <w:sz w:val="22"/>
                <w:szCs w:val="22"/>
              </w:rPr>
            </w:pPr>
            <w:hyperlink w:anchor="bookmark11" w:history="1">
              <w:r w:rsidR="00976FD2">
                <w:rPr>
                  <w:color w:val="006FB1"/>
                  <w:sz w:val="22"/>
                  <w:szCs w:val="22"/>
                  <w:u w:val="single"/>
                </w:rPr>
                <w:t xml:space="preserve">Comprehensive Local Needs Assessment </w:t>
              </w:r>
            </w:hyperlink>
            <w:r w:rsidR="00976FD2">
              <w:rPr>
                <w:color w:val="000000"/>
                <w:sz w:val="22"/>
                <w:szCs w:val="22"/>
              </w:rPr>
              <w:t>(annual updates)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F6EF" w14:textId="77777777" w:rsidR="00976FD2" w:rsidRDefault="00976FD2" w:rsidP="00976FD2">
            <w:pPr>
              <w:pStyle w:val="TableParagraph"/>
              <w:kinsoku w:val="0"/>
              <w:overflowPunct w:val="0"/>
              <w:spacing w:line="229" w:lineRule="exact"/>
              <w:ind w:left="152" w:right="140"/>
              <w:jc w:val="center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Jun. 30</w:t>
            </w:r>
          </w:p>
        </w:tc>
      </w:tr>
      <w:tr w:rsidR="00976FD2" w14:paraId="182099C3" w14:textId="77777777" w:rsidTr="00976FD2">
        <w:trPr>
          <w:trHeight w:val="249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719F" w14:textId="77777777" w:rsidR="00976FD2" w:rsidRDefault="00976FD2" w:rsidP="00976FD2">
            <w:pPr>
              <w:pStyle w:val="TableParagraph"/>
              <w:kinsoku w:val="0"/>
              <w:overflowPunct w:val="0"/>
              <w:spacing w:line="229" w:lineRule="exact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 xml:space="preserve">Perkins Applications (Excel Budget worksheets - </w:t>
            </w:r>
            <w:hyperlink w:anchor="bookmark32" w:history="1">
              <w:r>
                <w:rPr>
                  <w:color w:val="006FB1"/>
                  <w:sz w:val="22"/>
                  <w:szCs w:val="22"/>
                  <w:u w:val="single"/>
                </w:rPr>
                <w:t>Appendix B</w:t>
              </w:r>
            </w:hyperlink>
            <w:r>
              <w:rPr>
                <w:color w:val="2F2F2E"/>
                <w:sz w:val="22"/>
                <w:szCs w:val="22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A6D3" w14:textId="77777777" w:rsidR="00976FD2" w:rsidRDefault="00976FD2" w:rsidP="00976FD2">
            <w:pPr>
              <w:pStyle w:val="TableParagraph"/>
              <w:kinsoku w:val="0"/>
              <w:overflowPunct w:val="0"/>
              <w:spacing w:line="229" w:lineRule="exact"/>
              <w:ind w:left="152" w:right="140"/>
              <w:jc w:val="center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Jun. 30</w:t>
            </w:r>
          </w:p>
        </w:tc>
      </w:tr>
      <w:tr w:rsidR="00976FD2" w14:paraId="3AC68303" w14:textId="77777777" w:rsidTr="00976FD2">
        <w:trPr>
          <w:trHeight w:val="249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8EA7" w14:textId="77777777" w:rsidR="00976FD2" w:rsidRDefault="00976FD2" w:rsidP="00976FD2">
            <w:pPr>
              <w:pStyle w:val="TableParagraph"/>
              <w:kinsoku w:val="0"/>
              <w:overflowPunct w:val="0"/>
              <w:spacing w:line="229" w:lineRule="exact"/>
              <w:ind w:left="273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Postsecondary: Nontraditional Application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7B13" w14:textId="77777777" w:rsidR="00976FD2" w:rsidRDefault="00976FD2" w:rsidP="00976FD2">
            <w:pPr>
              <w:pStyle w:val="TableParagraph"/>
              <w:kinsoku w:val="0"/>
              <w:overflowPunct w:val="0"/>
              <w:spacing w:line="229" w:lineRule="exact"/>
              <w:ind w:left="152" w:right="140"/>
              <w:jc w:val="center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Jun. 30</w:t>
            </w:r>
          </w:p>
        </w:tc>
      </w:tr>
      <w:tr w:rsidR="00976FD2" w14:paraId="285EAE6B" w14:textId="77777777" w:rsidTr="00976FD2">
        <w:trPr>
          <w:trHeight w:val="251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CE46" w14:textId="77777777" w:rsidR="00976FD2" w:rsidRDefault="00976FD2" w:rsidP="00976FD2">
            <w:pPr>
              <w:pStyle w:val="TableParagraph"/>
              <w:kinsoku w:val="0"/>
              <w:overflowPunct w:val="0"/>
              <w:spacing w:before="2" w:line="229" w:lineRule="exact"/>
              <w:ind w:left="273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Postsecondary: Reserve Application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3882" w14:textId="77777777" w:rsidR="00976FD2" w:rsidRDefault="00976FD2" w:rsidP="00976FD2">
            <w:pPr>
              <w:pStyle w:val="TableParagraph"/>
              <w:kinsoku w:val="0"/>
              <w:overflowPunct w:val="0"/>
              <w:spacing w:before="2" w:line="229" w:lineRule="exact"/>
              <w:ind w:left="152" w:right="140"/>
              <w:jc w:val="center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Jun. 30</w:t>
            </w:r>
          </w:p>
        </w:tc>
      </w:tr>
      <w:tr w:rsidR="00976FD2" w14:paraId="439C8895" w14:textId="77777777" w:rsidTr="00976FD2">
        <w:trPr>
          <w:trHeight w:val="249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F485" w14:textId="77777777" w:rsidR="00976FD2" w:rsidRDefault="00976FD2" w:rsidP="00976FD2">
            <w:pPr>
              <w:pStyle w:val="TableParagraph"/>
              <w:kinsoku w:val="0"/>
              <w:overflowPunct w:val="0"/>
              <w:spacing w:line="229" w:lineRule="exact"/>
              <w:ind w:left="273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State Institution Project Application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6E41" w14:textId="77777777" w:rsidR="00976FD2" w:rsidRDefault="00976FD2" w:rsidP="00976FD2">
            <w:pPr>
              <w:pStyle w:val="TableParagraph"/>
              <w:kinsoku w:val="0"/>
              <w:overflowPunct w:val="0"/>
              <w:spacing w:line="229" w:lineRule="exact"/>
              <w:ind w:left="152" w:right="140"/>
              <w:jc w:val="center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Jun. 30</w:t>
            </w:r>
          </w:p>
        </w:tc>
      </w:tr>
      <w:tr w:rsidR="00976FD2" w14:paraId="26FA41B0" w14:textId="77777777" w:rsidTr="00976FD2">
        <w:trPr>
          <w:trHeight w:val="249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9537" w14:textId="77777777" w:rsidR="00976FD2" w:rsidRDefault="00FF31E4" w:rsidP="00976FD2">
            <w:pPr>
              <w:pStyle w:val="TableParagraph"/>
              <w:kinsoku w:val="0"/>
              <w:overflowPunct w:val="0"/>
              <w:spacing w:line="229" w:lineRule="exact"/>
              <w:rPr>
                <w:color w:val="2F2F2E"/>
                <w:sz w:val="22"/>
                <w:szCs w:val="22"/>
              </w:rPr>
            </w:pPr>
            <w:hyperlink r:id="rId4" w:history="1">
              <w:r w:rsidR="00976FD2">
                <w:rPr>
                  <w:color w:val="006FB1"/>
                  <w:sz w:val="22"/>
                  <w:szCs w:val="22"/>
                  <w:u w:val="single"/>
                </w:rPr>
                <w:t>Narrative Report</w:t>
              </w:r>
              <w:r w:rsidR="00976FD2">
                <w:rPr>
                  <w:color w:val="006FB1"/>
                  <w:sz w:val="22"/>
                  <w:szCs w:val="22"/>
                </w:rPr>
                <w:t xml:space="preserve"> </w:t>
              </w:r>
            </w:hyperlink>
            <w:r w:rsidR="00976FD2">
              <w:rPr>
                <w:color w:val="2F2F2E"/>
                <w:sz w:val="22"/>
                <w:szCs w:val="22"/>
              </w:rPr>
              <w:t>(summary of prior year outcomes)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5E0F" w14:textId="77777777" w:rsidR="00976FD2" w:rsidRDefault="00976FD2" w:rsidP="00976FD2">
            <w:pPr>
              <w:pStyle w:val="TableParagraph"/>
              <w:kinsoku w:val="0"/>
              <w:overflowPunct w:val="0"/>
              <w:spacing w:line="229" w:lineRule="exact"/>
              <w:ind w:left="152" w:right="140"/>
              <w:jc w:val="center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Jun. 30</w:t>
            </w:r>
          </w:p>
        </w:tc>
      </w:tr>
      <w:tr w:rsidR="00976FD2" w14:paraId="260A4E89" w14:textId="77777777" w:rsidTr="00976FD2">
        <w:trPr>
          <w:trHeight w:val="249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C76A" w14:textId="77777777" w:rsidR="00976FD2" w:rsidRDefault="00FF31E4" w:rsidP="00976FD2">
            <w:pPr>
              <w:pStyle w:val="TableParagraph"/>
              <w:kinsoku w:val="0"/>
              <w:overflowPunct w:val="0"/>
              <w:spacing w:line="229" w:lineRule="exact"/>
              <w:rPr>
                <w:color w:val="006FB1"/>
                <w:sz w:val="22"/>
                <w:szCs w:val="22"/>
              </w:rPr>
            </w:pPr>
            <w:hyperlink w:anchor="bookmark26" w:history="1">
              <w:r w:rsidR="00976FD2">
                <w:rPr>
                  <w:color w:val="006FB1"/>
                  <w:sz w:val="22"/>
                  <w:szCs w:val="22"/>
                  <w:u w:val="single"/>
                </w:rPr>
                <w:t>Performance Improvement Plan</w:t>
              </w:r>
            </w:hyperlink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1C7B" w14:textId="77777777" w:rsidR="00976FD2" w:rsidRDefault="00976FD2" w:rsidP="00976FD2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FD2" w14:paraId="09B95B91" w14:textId="77777777" w:rsidTr="00976FD2">
        <w:trPr>
          <w:trHeight w:val="249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ABEB" w14:textId="77777777" w:rsidR="00976FD2" w:rsidRDefault="00FF31E4" w:rsidP="00976FD2">
            <w:pPr>
              <w:pStyle w:val="TableParagraph"/>
              <w:kinsoku w:val="0"/>
              <w:overflowPunct w:val="0"/>
              <w:spacing w:line="229" w:lineRule="exact"/>
              <w:rPr>
                <w:color w:val="2F2F2E"/>
                <w:sz w:val="22"/>
                <w:szCs w:val="22"/>
              </w:rPr>
            </w:pPr>
            <w:hyperlink w:anchor="bookmark22" w:history="1">
              <w:r w:rsidR="00976FD2">
                <w:rPr>
                  <w:color w:val="006FB1"/>
                  <w:sz w:val="22"/>
                  <w:szCs w:val="22"/>
                  <w:u w:val="single"/>
                </w:rPr>
                <w:t>Consortium</w:t>
              </w:r>
              <w:r w:rsidR="00976FD2">
                <w:rPr>
                  <w:color w:val="006FB1"/>
                  <w:sz w:val="22"/>
                  <w:szCs w:val="22"/>
                </w:rPr>
                <w:t xml:space="preserve"> </w:t>
              </w:r>
            </w:hyperlink>
            <w:r w:rsidR="00976FD2">
              <w:rPr>
                <w:color w:val="2F2F2E"/>
                <w:sz w:val="22"/>
                <w:szCs w:val="22"/>
              </w:rPr>
              <w:t>documents: Agreements or Waiver Request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4186" w14:textId="77777777" w:rsidR="00976FD2" w:rsidRDefault="00976FD2" w:rsidP="00976FD2">
            <w:pPr>
              <w:pStyle w:val="TableParagraph"/>
              <w:kinsoku w:val="0"/>
              <w:overflowPunct w:val="0"/>
              <w:spacing w:line="229" w:lineRule="exact"/>
              <w:ind w:left="152" w:right="140"/>
              <w:jc w:val="center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Jun. 30</w:t>
            </w:r>
          </w:p>
        </w:tc>
      </w:tr>
      <w:tr w:rsidR="00976FD2" w14:paraId="77A35B6D" w14:textId="77777777" w:rsidTr="00976FD2">
        <w:trPr>
          <w:trHeight w:val="263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91C2" w14:textId="77777777" w:rsidR="00976FD2" w:rsidRDefault="00976FD2" w:rsidP="00976FD2">
            <w:pPr>
              <w:pStyle w:val="TableParagraph"/>
              <w:kinsoku w:val="0"/>
              <w:overflowPunct w:val="0"/>
              <w:spacing w:line="229" w:lineRule="exact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Reimbursement Requests (submit as soon as money is spent)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8F46" w14:textId="77777777" w:rsidR="00976FD2" w:rsidRDefault="00976FD2" w:rsidP="00976FD2">
            <w:pPr>
              <w:pStyle w:val="TableParagraph"/>
              <w:kinsoku w:val="0"/>
              <w:overflowPunct w:val="0"/>
              <w:spacing w:line="229" w:lineRule="exact"/>
              <w:ind w:left="152" w:right="140"/>
              <w:jc w:val="center"/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>Final deadline Jun. 7</w:t>
            </w:r>
          </w:p>
        </w:tc>
      </w:tr>
      <w:tr w:rsidR="00976FD2" w14:paraId="24893541" w14:textId="77777777" w:rsidTr="00976FD2">
        <w:trPr>
          <w:trHeight w:val="425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F74D1F" w14:textId="77777777" w:rsidR="00976FD2" w:rsidRPr="00976FD2" w:rsidRDefault="00976FD2" w:rsidP="00976FD2">
            <w:pPr>
              <w:pStyle w:val="TableParagraph"/>
              <w:kinsoku w:val="0"/>
              <w:overflowPunct w:val="0"/>
              <w:rPr>
                <w:b/>
                <w:bCs/>
                <w:color w:val="2F2F2E"/>
                <w:sz w:val="32"/>
                <w:szCs w:val="32"/>
              </w:rPr>
            </w:pPr>
            <w:r w:rsidRPr="00976FD2">
              <w:rPr>
                <w:b/>
                <w:bCs/>
                <w:color w:val="2F2F2E"/>
                <w:sz w:val="32"/>
                <w:szCs w:val="32"/>
              </w:rPr>
              <w:t>Perkins Reports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568716" w14:textId="77777777" w:rsidR="00976FD2" w:rsidRPr="00976FD2" w:rsidRDefault="00976FD2" w:rsidP="00976FD2">
            <w:pPr>
              <w:pStyle w:val="TableParagraph"/>
              <w:kinsoku w:val="0"/>
              <w:overflowPunct w:val="0"/>
              <w:ind w:left="149" w:right="140"/>
              <w:jc w:val="center"/>
              <w:rPr>
                <w:b/>
                <w:bCs/>
                <w:color w:val="2F2F2E"/>
                <w:sz w:val="32"/>
                <w:szCs w:val="32"/>
              </w:rPr>
            </w:pPr>
            <w:r w:rsidRPr="00976FD2">
              <w:rPr>
                <w:b/>
                <w:bCs/>
                <w:color w:val="2F2F2E"/>
                <w:sz w:val="32"/>
                <w:szCs w:val="32"/>
              </w:rPr>
              <w:t>Due Date</w:t>
            </w:r>
          </w:p>
        </w:tc>
      </w:tr>
      <w:tr w:rsidR="00976FD2" w14:paraId="392713B9" w14:textId="77777777" w:rsidTr="00976FD2">
        <w:trPr>
          <w:trHeight w:val="249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C56C" w14:textId="77777777" w:rsidR="00976FD2" w:rsidRPr="00976FD2" w:rsidRDefault="00976FD2" w:rsidP="00976FD2">
            <w:pPr>
              <w:pStyle w:val="TableParagraph"/>
              <w:kinsoku w:val="0"/>
              <w:overflowPunct w:val="0"/>
              <w:spacing w:line="229" w:lineRule="exact"/>
              <w:rPr>
                <w:color w:val="2F2F2E"/>
                <w:sz w:val="22"/>
                <w:szCs w:val="22"/>
              </w:rPr>
            </w:pPr>
            <w:r w:rsidRPr="00976FD2">
              <w:rPr>
                <w:color w:val="2F2F2E"/>
                <w:sz w:val="22"/>
                <w:szCs w:val="22"/>
              </w:rPr>
              <w:t>Summarized and program level data delivered to LEAs and technical colleges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8CA9" w14:textId="77777777" w:rsidR="00976FD2" w:rsidRPr="00976FD2" w:rsidRDefault="00976FD2" w:rsidP="00976FD2">
            <w:pPr>
              <w:pStyle w:val="TableParagraph"/>
              <w:kinsoku w:val="0"/>
              <w:overflowPunct w:val="0"/>
              <w:spacing w:line="229" w:lineRule="exact"/>
              <w:ind w:left="149" w:right="140"/>
              <w:jc w:val="center"/>
              <w:rPr>
                <w:color w:val="2F2F2E"/>
                <w:sz w:val="22"/>
                <w:szCs w:val="22"/>
              </w:rPr>
            </w:pPr>
            <w:r w:rsidRPr="00976FD2">
              <w:rPr>
                <w:color w:val="2F2F2E"/>
                <w:sz w:val="22"/>
                <w:szCs w:val="22"/>
              </w:rPr>
              <w:t>By March</w:t>
            </w:r>
          </w:p>
        </w:tc>
      </w:tr>
      <w:tr w:rsidR="00976FD2" w14:paraId="2D572629" w14:textId="77777777" w:rsidTr="00976FD2">
        <w:trPr>
          <w:trHeight w:val="249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825D" w14:textId="77777777" w:rsidR="00976FD2" w:rsidRDefault="00976FD2" w:rsidP="00976FD2">
            <w:pPr>
              <w:pStyle w:val="TableParagraph"/>
              <w:kinsoku w:val="0"/>
              <w:overflowPunct w:val="0"/>
              <w:spacing w:line="229" w:lineRule="exact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Technical Colleges submit Pell/BIA counts for CTE students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01AD" w14:textId="77777777" w:rsidR="00976FD2" w:rsidRDefault="00976FD2" w:rsidP="00976FD2">
            <w:pPr>
              <w:pStyle w:val="TableParagraph"/>
              <w:kinsoku w:val="0"/>
              <w:overflowPunct w:val="0"/>
              <w:spacing w:line="229" w:lineRule="exact"/>
              <w:ind w:left="147" w:right="140"/>
              <w:jc w:val="center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Mar. 31</w:t>
            </w:r>
          </w:p>
        </w:tc>
      </w:tr>
      <w:tr w:rsidR="00976FD2" w14:paraId="63A8C4BA" w14:textId="77777777" w:rsidTr="00976FD2">
        <w:trPr>
          <w:trHeight w:val="501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C458" w14:textId="77777777" w:rsidR="00976FD2" w:rsidRDefault="00976FD2" w:rsidP="00976FD2">
            <w:pPr>
              <w:pStyle w:val="TableParagraph"/>
              <w:kinsoku w:val="0"/>
              <w:overflowPunct w:val="0"/>
              <w:spacing w:before="1" w:line="250" w:lineRule="exact"/>
              <w:ind w:right="437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Placement data for annual legislative report and Perkins report (LEAs and technical colleges)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2875" w14:textId="77777777" w:rsidR="00976FD2" w:rsidRDefault="00976FD2" w:rsidP="00976FD2">
            <w:pPr>
              <w:pStyle w:val="TableParagraph"/>
              <w:kinsoku w:val="0"/>
              <w:overflowPunct w:val="0"/>
              <w:spacing w:line="249" w:lineRule="exact"/>
              <w:ind w:left="147" w:right="140"/>
              <w:jc w:val="center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Apr. 30</w:t>
            </w:r>
          </w:p>
        </w:tc>
      </w:tr>
      <w:tr w:rsidR="00976FD2" w14:paraId="0E714989" w14:textId="77777777" w:rsidTr="00976FD2">
        <w:trPr>
          <w:trHeight w:val="335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0490" w14:textId="77777777" w:rsidR="00976FD2" w:rsidRDefault="00976FD2" w:rsidP="00976FD2">
            <w:pPr>
              <w:pStyle w:val="TableParagraph"/>
              <w:kinsoku w:val="0"/>
              <w:overflowPunct w:val="0"/>
              <w:spacing w:before="1" w:line="250" w:lineRule="exact"/>
              <w:ind w:right="437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Technical College enrolments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DEDB" w14:textId="77777777" w:rsidR="00976FD2" w:rsidRDefault="00976FD2" w:rsidP="00976FD2">
            <w:pPr>
              <w:pStyle w:val="TableParagraph"/>
              <w:kinsoku w:val="0"/>
              <w:overflowPunct w:val="0"/>
              <w:spacing w:line="249" w:lineRule="exact"/>
              <w:ind w:left="147" w:right="140"/>
              <w:jc w:val="center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Nov. 1</w:t>
            </w:r>
          </w:p>
        </w:tc>
      </w:tr>
      <w:tr w:rsidR="00976FD2" w14:paraId="03E1FE08" w14:textId="77777777" w:rsidTr="00976FD2">
        <w:trPr>
          <w:trHeight w:val="501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1EB54F" w14:textId="77777777" w:rsidR="00976FD2" w:rsidRDefault="00976FD2" w:rsidP="00976FD2">
            <w:pPr>
              <w:pStyle w:val="TableParagraph"/>
              <w:kinsoku w:val="0"/>
              <w:overflowPunct w:val="0"/>
              <w:spacing w:before="1" w:line="250" w:lineRule="exact"/>
              <w:ind w:right="437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Perkins allocations for eligible recipients</w:t>
            </w:r>
          </w:p>
          <w:p w14:paraId="541E5570" w14:textId="77777777" w:rsidR="00976FD2" w:rsidRDefault="00976FD2" w:rsidP="00976FD2">
            <w:pPr>
              <w:pStyle w:val="TableParagraph"/>
              <w:kinsoku w:val="0"/>
              <w:overflowPunct w:val="0"/>
              <w:spacing w:before="1" w:line="250" w:lineRule="exact"/>
              <w:ind w:right="437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Distributions are approximate and dependent upon appropriation dates and amounts received from Congress and the Office of Career, Technical, and Adult Education (OCTAE). *Projected allocations will be sent within 30 days following the receipt of the allocation tables from OCTAE.</w:t>
            </w:r>
          </w:p>
          <w:p w14:paraId="2AC09D4E" w14:textId="77777777" w:rsidR="00976FD2" w:rsidRPr="00127F64" w:rsidRDefault="00976FD2" w:rsidP="00976FD2">
            <w:pPr>
              <w:pStyle w:val="TableParagraph"/>
              <w:kinsoku w:val="0"/>
              <w:overflowPunct w:val="0"/>
              <w:spacing w:before="1" w:line="250" w:lineRule="exact"/>
              <w:ind w:right="437"/>
              <w:rPr>
                <w:color w:val="2F2F2E"/>
                <w:sz w:val="22"/>
                <w:szCs w:val="22"/>
              </w:rPr>
            </w:pPr>
          </w:p>
          <w:p w14:paraId="3A5F773A" w14:textId="77777777" w:rsidR="00976FD2" w:rsidRDefault="00976FD2" w:rsidP="00976FD2">
            <w:pPr>
              <w:pStyle w:val="TableParagraph"/>
              <w:kinsoku w:val="0"/>
              <w:overflowPunct w:val="0"/>
              <w:spacing w:before="1" w:line="250" w:lineRule="exact"/>
              <w:ind w:right="437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LEA funds are based on:</w:t>
            </w:r>
          </w:p>
          <w:p w14:paraId="7B6DC741" w14:textId="77777777" w:rsidR="00976FD2" w:rsidRDefault="00976FD2" w:rsidP="00976FD2">
            <w:pPr>
              <w:pStyle w:val="TableParagraph"/>
              <w:kinsoku w:val="0"/>
              <w:overflowPunct w:val="0"/>
              <w:spacing w:before="1" w:line="250" w:lineRule="exact"/>
              <w:ind w:right="437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-30% is allocated to LEAs based on the number of 5-to-17-year olds who reside in the school district</w:t>
            </w:r>
          </w:p>
          <w:p w14:paraId="3D820AFD" w14:textId="669E7922" w:rsidR="00976FD2" w:rsidRDefault="00976FD2" w:rsidP="00976FD2">
            <w:pPr>
              <w:pStyle w:val="TableParagraph"/>
              <w:kinsoku w:val="0"/>
              <w:overflowPunct w:val="0"/>
              <w:spacing w:before="1" w:line="250" w:lineRule="exact"/>
              <w:ind w:right="437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-70% is allocated to LEAs based on the number of 5-to-17-year-olds in families below the poverty line</w:t>
            </w:r>
          </w:p>
          <w:p w14:paraId="40EC67D9" w14:textId="77777777" w:rsidR="00976FD2" w:rsidRPr="00127F64" w:rsidRDefault="00976FD2" w:rsidP="00976FD2">
            <w:pPr>
              <w:pStyle w:val="TableParagraph"/>
              <w:kinsoku w:val="0"/>
              <w:overflowPunct w:val="0"/>
              <w:spacing w:before="1" w:line="250" w:lineRule="exact"/>
              <w:ind w:right="437"/>
              <w:rPr>
                <w:color w:val="2F2F2E"/>
                <w:sz w:val="22"/>
                <w:szCs w:val="22"/>
              </w:rPr>
            </w:pPr>
          </w:p>
          <w:p w14:paraId="4858C4CD" w14:textId="77777777" w:rsidR="00976FD2" w:rsidRDefault="00976FD2" w:rsidP="00976FD2">
            <w:pPr>
              <w:pStyle w:val="TableParagraph"/>
              <w:kinsoku w:val="0"/>
              <w:overflowPunct w:val="0"/>
              <w:spacing w:before="1" w:line="250" w:lineRule="exact"/>
              <w:ind w:right="437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Technical College funds are based on the number of CTE students who received financial aid under Pell or BIA during the report period.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82C591" w14:textId="77777777" w:rsidR="00976FD2" w:rsidRDefault="00976FD2" w:rsidP="00976FD2">
            <w:pPr>
              <w:pStyle w:val="TableParagraph"/>
              <w:kinsoku w:val="0"/>
              <w:overflowPunct w:val="0"/>
              <w:spacing w:line="249" w:lineRule="exact"/>
              <w:ind w:left="147" w:right="140"/>
              <w:jc w:val="center"/>
              <w:rPr>
                <w:color w:val="2F2F2E"/>
                <w:sz w:val="22"/>
                <w:szCs w:val="22"/>
              </w:rPr>
            </w:pPr>
            <w:r>
              <w:rPr>
                <w:color w:val="2F2F2E"/>
                <w:sz w:val="22"/>
                <w:szCs w:val="22"/>
              </w:rPr>
              <w:t>Notification Date April/May*</w:t>
            </w:r>
          </w:p>
        </w:tc>
      </w:tr>
    </w:tbl>
    <w:p w14:paraId="7764F39C" w14:textId="77777777" w:rsidR="00127F64" w:rsidRDefault="00127F64" w:rsidP="00976FD2"/>
    <w:sectPr w:rsidR="00127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64"/>
    <w:rsid w:val="00127F64"/>
    <w:rsid w:val="00811889"/>
    <w:rsid w:val="00976FD2"/>
    <w:rsid w:val="009F58AE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5BCF"/>
  <w15:chartTrackingRefBased/>
  <w15:docId w15:val="{83765082-A30E-4C9E-8213-DA16DA02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7F6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F64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27F64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F64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F64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F64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F64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F64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F64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F64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F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F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F6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F64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F64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127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F6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127F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F6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F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F64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27F64"/>
    <w:pPr>
      <w:ind w:left="107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27F64"/>
  </w:style>
  <w:style w:type="character" w:customStyle="1" w:styleId="BodyTextChar">
    <w:name w:val="Body Text Char"/>
    <w:basedOn w:val="DefaultParagraphFont"/>
    <w:link w:val="BodyText"/>
    <w:uiPriority w:val="1"/>
    <w:rsid w:val="00127F64"/>
    <w:rPr>
      <w:rFonts w:ascii="Franklin Gothic Book" w:hAnsi="Franklin Gothic Book" w:cs="Franklin Gothic Book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cte.idaho.gov/Catalog?eventID=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Lathrop</dc:creator>
  <cp:keywords/>
  <dc:description/>
  <cp:lastModifiedBy>Abigail R. Pernsteiner</cp:lastModifiedBy>
  <cp:revision>2</cp:revision>
  <dcterms:created xsi:type="dcterms:W3CDTF">2024-11-25T21:59:00Z</dcterms:created>
  <dcterms:modified xsi:type="dcterms:W3CDTF">2024-11-25T21:59:00Z</dcterms:modified>
</cp:coreProperties>
</file>